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98" w:rsidRPr="00073F7F" w:rsidRDefault="00BA26BA" w:rsidP="00742798">
      <w:pPr>
        <w:pStyle w:val="Default"/>
        <w:jc w:val="center"/>
        <w:rPr>
          <w:rFonts w:asciiTheme="minorHAnsi" w:hAnsiTheme="minorHAnsi" w:cstheme="minorHAnsi"/>
          <w:b/>
          <w:color w:val="FF0000"/>
        </w:rPr>
      </w:pPr>
      <w:r>
        <w:rPr>
          <w:rFonts w:asciiTheme="minorHAnsi" w:hAnsiTheme="minorHAnsi" w:cstheme="minorHAnsi"/>
          <w:b/>
          <w:color w:val="FF0000"/>
        </w:rPr>
        <w:t>FIN 4533</w:t>
      </w:r>
    </w:p>
    <w:p w:rsidR="00AC56F2" w:rsidRPr="00073F7F" w:rsidRDefault="0038705F" w:rsidP="00742798">
      <w:pPr>
        <w:pStyle w:val="Default"/>
        <w:jc w:val="center"/>
        <w:rPr>
          <w:rFonts w:asciiTheme="minorHAnsi" w:hAnsiTheme="minorHAnsi" w:cstheme="minorHAnsi"/>
          <w:b/>
          <w:color w:val="FF0000"/>
        </w:rPr>
      </w:pPr>
      <w:r>
        <w:rPr>
          <w:rFonts w:asciiTheme="minorHAnsi" w:hAnsiTheme="minorHAnsi" w:cstheme="minorHAnsi"/>
          <w:b/>
          <w:color w:val="FF0000"/>
        </w:rPr>
        <w:t xml:space="preserve">CRN </w:t>
      </w:r>
      <w:r w:rsidR="00BA26BA">
        <w:rPr>
          <w:rFonts w:asciiTheme="minorHAnsi" w:hAnsiTheme="minorHAnsi" w:cstheme="minorHAnsi"/>
          <w:b/>
          <w:color w:val="FF0000"/>
        </w:rPr>
        <w:t>xxxxx</w:t>
      </w:r>
    </w:p>
    <w:p w:rsidR="00D02253" w:rsidRPr="00073F7F" w:rsidRDefault="000F4A45" w:rsidP="00D02253">
      <w:pPr>
        <w:pStyle w:val="Default"/>
        <w:jc w:val="center"/>
        <w:rPr>
          <w:rFonts w:asciiTheme="minorHAnsi" w:hAnsiTheme="minorHAnsi" w:cstheme="minorHAnsi"/>
          <w:b/>
          <w:color w:val="FF0000"/>
        </w:rPr>
      </w:pPr>
      <w:r>
        <w:rPr>
          <w:rFonts w:asciiTheme="minorHAnsi" w:hAnsiTheme="minorHAnsi" w:cstheme="minorHAnsi"/>
          <w:b/>
          <w:noProof/>
          <w:color w:val="FF0000"/>
        </w:rPr>
        <w:pict>
          <v:shapetype id="_x0000_t202" coordsize="21600,21600" o:spt="202" path="m,l,21600r21600,l21600,xe">
            <v:stroke joinstyle="miter"/>
            <v:path gradientshapeok="t" o:connecttype="rect"/>
          </v:shapetype>
          <v:shape id="Text Box 2" o:spid="_x0000_s1026" type="#_x0000_t202" style="position:absolute;left:0;text-align:left;margin-left:-80.95pt;margin-top:-62.95pt;width:19.85pt;height:63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" filled="f" stroked="f">
            <v:textbox>
              <w:txbxContent>
                <w:p w:rsidR="00D721DA" w:rsidRPr="00B02085" w:rsidRDefault="00D721DA" w:rsidP="00D02253"/>
                <w:p w:rsidR="00D721DA" w:rsidRPr="00B02085" w:rsidRDefault="00D721DA" w:rsidP="00D02253"/>
              </w:txbxContent>
            </v:textbox>
          </v:shape>
        </w:pict>
      </w:r>
      <w:r>
        <w:rPr>
          <w:rFonts w:asciiTheme="minorHAnsi" w:hAnsiTheme="minorHAnsi" w:cstheme="minorHAnsi"/>
          <w:b/>
          <w:noProof/>
          <w:color w:val="FF0000"/>
        </w:rPr>
        <w:pict>
          <v:shape id="Text Box 3" o:spid="_x0000_s1027" type="#_x0000_t202" style="position:absolute;left:0;text-align:left;margin-left:325.1pt;margin-top:-62.95pt;width:19.85pt;height:6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KltQ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" filled="f" stroked="f">
            <v:textbox>
              <w:txbxContent>
                <w:p w:rsidR="00D721DA" w:rsidRPr="00B02085" w:rsidRDefault="00D721DA" w:rsidP="00D02253"/>
                <w:p w:rsidR="00D721DA" w:rsidRPr="00B02085" w:rsidRDefault="00D721DA" w:rsidP="00D02253"/>
              </w:txbxContent>
            </v:textbox>
          </v:shape>
        </w:pict>
      </w:r>
      <w:r w:rsidR="0038705F">
        <w:rPr>
          <w:rFonts w:asciiTheme="minorHAnsi" w:hAnsiTheme="minorHAnsi" w:cstheme="minorHAnsi"/>
          <w:b/>
          <w:color w:val="FF0000"/>
        </w:rPr>
        <w:t>Financial Derivatives</w:t>
      </w:r>
    </w:p>
    <w:p w:rsidR="00742798" w:rsidRPr="00073F7F" w:rsidRDefault="00BA26BA" w:rsidP="00742798">
      <w:pPr>
        <w:pStyle w:val="Default"/>
        <w:jc w:val="center"/>
        <w:rPr>
          <w:rFonts w:asciiTheme="minorHAnsi" w:hAnsiTheme="minorHAnsi" w:cstheme="minorHAnsi"/>
          <w:b/>
          <w:color w:val="FF0000"/>
        </w:rPr>
      </w:pPr>
      <w:r>
        <w:rPr>
          <w:rFonts w:asciiTheme="minorHAnsi" w:hAnsiTheme="minorHAnsi" w:cstheme="minorHAnsi"/>
          <w:b/>
          <w:color w:val="FF0000"/>
        </w:rPr>
        <w:t>Spring 2014</w:t>
      </w:r>
    </w:p>
    <w:p w:rsidR="00C4325D" w:rsidRPr="00073F7F" w:rsidRDefault="0038705F" w:rsidP="00742798">
      <w:pPr>
        <w:pStyle w:val="Default"/>
        <w:jc w:val="center"/>
        <w:rPr>
          <w:rFonts w:asciiTheme="minorHAnsi" w:hAnsiTheme="minorHAnsi" w:cstheme="minorHAnsi"/>
          <w:b/>
          <w:color w:val="FF0000"/>
        </w:rPr>
      </w:pPr>
      <w:r>
        <w:rPr>
          <w:rFonts w:asciiTheme="minorHAnsi" w:hAnsiTheme="minorHAnsi" w:cstheme="minorHAnsi"/>
          <w:b/>
          <w:color w:val="FF0000"/>
        </w:rPr>
        <w:t>BU 101 Trading Room</w:t>
      </w:r>
    </w:p>
    <w:p w:rsidR="001B4975" w:rsidRPr="00073F7F" w:rsidRDefault="001B4975" w:rsidP="00742798">
      <w:pPr>
        <w:pStyle w:val="Default"/>
        <w:rPr>
          <w:rFonts w:asciiTheme="minorHAnsi" w:hAnsiTheme="minorHAnsi" w:cstheme="minorHAnsi"/>
          <w:b/>
        </w:rPr>
      </w:pPr>
    </w:p>
    <w:p w:rsidR="0080524F" w:rsidRPr="00073F7F" w:rsidRDefault="0080524F" w:rsidP="00742798">
      <w:pPr>
        <w:pStyle w:val="Default"/>
        <w:rPr>
          <w:rFonts w:asciiTheme="minorHAnsi" w:hAnsiTheme="minorHAnsi" w:cstheme="minorHAnsi"/>
        </w:rPr>
      </w:pPr>
    </w:p>
    <w:p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p>
    <w:p w:rsidR="00742798" w:rsidRDefault="00A91E60" w:rsidP="00742798">
      <w:pPr>
        <w:pStyle w:val="Default"/>
        <w:rPr>
          <w:rFonts w:asciiTheme="minorHAnsi" w:hAnsiTheme="minorHAnsi" w:cstheme="minorHAnsi"/>
          <w:color w:val="FF0000"/>
        </w:rPr>
      </w:pPr>
      <w:r>
        <w:rPr>
          <w:rFonts w:asciiTheme="minorHAnsi" w:hAnsiTheme="minorHAnsi" w:cstheme="minorHAnsi"/>
          <w:color w:val="FF0000"/>
        </w:rPr>
        <w:t>Antoine Giannetti,</w:t>
      </w:r>
      <w:r w:rsidR="004D2A8A">
        <w:rPr>
          <w:rFonts w:asciiTheme="minorHAnsi" w:hAnsiTheme="minorHAnsi" w:cstheme="minorHAnsi"/>
          <w:color w:val="FF0000"/>
        </w:rPr>
        <w:t>, PhD</w:t>
      </w:r>
    </w:p>
    <w:p w:rsidR="00A91E60" w:rsidRDefault="00A91E60" w:rsidP="00742798">
      <w:pPr>
        <w:pStyle w:val="Default"/>
        <w:rPr>
          <w:rFonts w:asciiTheme="minorHAnsi" w:hAnsiTheme="minorHAnsi" w:cstheme="minorHAnsi"/>
          <w:color w:val="FF0000"/>
        </w:rPr>
      </w:pPr>
      <w:r>
        <w:rPr>
          <w:rFonts w:asciiTheme="minorHAnsi" w:hAnsiTheme="minorHAnsi" w:cstheme="minorHAnsi"/>
          <w:color w:val="FF0000"/>
        </w:rPr>
        <w:t>KH 142</w:t>
      </w:r>
    </w:p>
    <w:p w:rsidR="00A91E60" w:rsidRDefault="00A91E60" w:rsidP="00742798">
      <w:pPr>
        <w:pStyle w:val="Default"/>
        <w:rPr>
          <w:rFonts w:asciiTheme="minorHAnsi" w:hAnsiTheme="minorHAnsi" w:cstheme="minorHAnsi"/>
          <w:color w:val="FF0000"/>
        </w:rPr>
      </w:pPr>
      <w:r>
        <w:rPr>
          <w:rFonts w:asciiTheme="minorHAnsi" w:hAnsiTheme="minorHAnsi" w:cstheme="minorHAnsi"/>
          <w:color w:val="FF0000"/>
        </w:rPr>
        <w:t>giannett@fau.edu</w:t>
      </w:r>
    </w:p>
    <w:p w:rsidR="00A91E60" w:rsidRPr="00073F7F" w:rsidRDefault="00A91E60" w:rsidP="00742798">
      <w:pPr>
        <w:pStyle w:val="Default"/>
        <w:rPr>
          <w:rFonts w:asciiTheme="minorHAnsi" w:hAnsiTheme="minorHAnsi" w:cstheme="minorHAnsi"/>
          <w:color w:val="FF0000"/>
        </w:rPr>
      </w:pPr>
    </w:p>
    <w:p w:rsidR="00097658" w:rsidRPr="00073F7F" w:rsidRDefault="00097658" w:rsidP="00742798">
      <w:pPr>
        <w:pStyle w:val="Default"/>
        <w:rPr>
          <w:rFonts w:asciiTheme="minorHAnsi" w:hAnsiTheme="minorHAnsi" w:cstheme="minorHAnsi"/>
        </w:rPr>
      </w:pPr>
    </w:p>
    <w:p w:rsidR="003C4ECA" w:rsidRDefault="004F06DD" w:rsidP="003C4ECA">
      <w:pPr>
        <w:rPr>
          <w:rFonts w:asciiTheme="minorHAnsi" w:hAnsiTheme="minorHAnsi" w:cstheme="minorHAnsi"/>
          <w:b/>
          <w:szCs w:val="24"/>
          <w:u w:val="single"/>
        </w:rPr>
      </w:pPr>
      <w:r w:rsidRPr="00073F7F">
        <w:rPr>
          <w:rFonts w:asciiTheme="minorHAnsi" w:hAnsiTheme="minorHAnsi" w:cstheme="minorHAnsi"/>
          <w:b/>
          <w:szCs w:val="24"/>
          <w:u w:val="single"/>
        </w:rPr>
        <w:t xml:space="preserve">Office </w:t>
      </w:r>
      <w:r w:rsidR="003C4ECA" w:rsidRPr="00073F7F">
        <w:rPr>
          <w:rFonts w:asciiTheme="minorHAnsi" w:hAnsiTheme="minorHAnsi" w:cstheme="minorHAnsi"/>
          <w:b/>
          <w:szCs w:val="24"/>
          <w:u w:val="single"/>
        </w:rPr>
        <w:t>Hours</w:t>
      </w:r>
    </w:p>
    <w:p w:rsidR="00BA26BA" w:rsidRPr="00073F7F" w:rsidRDefault="00BA26BA" w:rsidP="003C4ECA">
      <w:pPr>
        <w:rPr>
          <w:rFonts w:asciiTheme="minorHAnsi" w:hAnsiTheme="minorHAnsi" w:cstheme="minorHAnsi"/>
          <w:b/>
          <w:szCs w:val="24"/>
          <w:u w:val="single"/>
        </w:rPr>
      </w:pPr>
    </w:p>
    <w:p w:rsidR="00A50C8E" w:rsidRDefault="00B71CDE" w:rsidP="00A50C8E">
      <w:pPr>
        <w:pStyle w:val="Heading1"/>
        <w:tabs>
          <w:tab w:val="left" w:pos="720"/>
        </w:tabs>
        <w:rPr>
          <w:rFonts w:asciiTheme="minorHAnsi" w:hAnsiTheme="minorHAnsi" w:cstheme="minorHAnsi"/>
          <w:szCs w:val="24"/>
          <w:u w:val="single"/>
        </w:rPr>
      </w:pPr>
      <w:r w:rsidRPr="00073F7F">
        <w:rPr>
          <w:rFonts w:asciiTheme="minorHAnsi" w:hAnsiTheme="minorHAnsi" w:cstheme="minorHAnsi"/>
          <w:szCs w:val="24"/>
          <w:u w:val="single"/>
        </w:rPr>
        <w:t>Required Text and M</w:t>
      </w:r>
      <w:r w:rsidR="00097658" w:rsidRPr="00073F7F">
        <w:rPr>
          <w:rFonts w:asciiTheme="minorHAnsi" w:hAnsiTheme="minorHAnsi" w:cstheme="minorHAnsi"/>
          <w:szCs w:val="24"/>
          <w:u w:val="single"/>
        </w:rPr>
        <w:t>aterials</w:t>
      </w:r>
    </w:p>
    <w:p w:rsidR="004D2A8A" w:rsidRPr="004D2A8A" w:rsidRDefault="004D2A8A" w:rsidP="004D2A8A"/>
    <w:p w:rsidR="00A91E60" w:rsidRPr="00A91E60" w:rsidRDefault="00A91E60" w:rsidP="00A91E60">
      <w:pPr>
        <w:tabs>
          <w:tab w:val="left" w:pos="1800"/>
          <w:tab w:val="left" w:pos="2070"/>
          <w:tab w:val="left" w:pos="4320"/>
          <w:tab w:val="left" w:pos="4590"/>
        </w:tabs>
        <w:spacing w:line="240" w:lineRule="atLeast"/>
        <w:rPr>
          <w:smallCaps/>
          <w:sz w:val="22"/>
          <w:szCs w:val="22"/>
        </w:rPr>
      </w:pPr>
      <w:r w:rsidRPr="00A91E60">
        <w:rPr>
          <w:smallCaps/>
          <w:sz w:val="22"/>
          <w:szCs w:val="22"/>
        </w:rPr>
        <w:t>Derivative PRINCIPLES AND PRACTICE</w:t>
      </w:r>
    </w:p>
    <w:p w:rsidR="003C3732" w:rsidRDefault="00A91E60" w:rsidP="00A91E60">
      <w:pPr>
        <w:pStyle w:val="Style2"/>
        <w:widowControl/>
        <w:spacing w:line="213" w:lineRule="auto"/>
        <w:ind w:right="72"/>
        <w:rPr>
          <w:smallCaps/>
          <w:sz w:val="18"/>
          <w:szCs w:val="18"/>
        </w:rPr>
      </w:pPr>
      <w:r w:rsidRPr="00A91E60">
        <w:rPr>
          <w:smallCaps/>
          <w:sz w:val="18"/>
          <w:szCs w:val="18"/>
        </w:rPr>
        <w:t xml:space="preserve">SUNDARAM </w:t>
      </w:r>
      <w:r w:rsidR="003C3732">
        <w:rPr>
          <w:smallCaps/>
          <w:sz w:val="18"/>
          <w:szCs w:val="18"/>
        </w:rPr>
        <w:t xml:space="preserve">&amp; </w:t>
      </w:r>
      <w:r w:rsidRPr="00A91E60">
        <w:rPr>
          <w:smallCaps/>
          <w:sz w:val="18"/>
          <w:szCs w:val="18"/>
        </w:rPr>
        <w:t>DAS</w:t>
      </w:r>
    </w:p>
    <w:p w:rsidR="00C4325D" w:rsidRDefault="00A91E60" w:rsidP="00A91E60">
      <w:pPr>
        <w:pStyle w:val="Style2"/>
        <w:widowControl/>
        <w:spacing w:line="213" w:lineRule="auto"/>
        <w:ind w:right="72"/>
        <w:rPr>
          <w:smallCaps/>
          <w:sz w:val="18"/>
          <w:szCs w:val="18"/>
        </w:rPr>
      </w:pPr>
      <w:r w:rsidRPr="00A91E60">
        <w:rPr>
          <w:smallCaps/>
          <w:sz w:val="18"/>
          <w:szCs w:val="18"/>
        </w:rPr>
        <w:t xml:space="preserve"> MC GRAW HILL</w:t>
      </w:r>
    </w:p>
    <w:p w:rsidR="009D2817" w:rsidRPr="00A91E60" w:rsidRDefault="009D2817" w:rsidP="00A91E60">
      <w:pPr>
        <w:pStyle w:val="Style2"/>
        <w:widowControl/>
        <w:spacing w:line="213" w:lineRule="auto"/>
        <w:ind w:right="72"/>
        <w:rPr>
          <w:bCs/>
          <w:szCs w:val="24"/>
        </w:rPr>
      </w:pPr>
    </w:p>
    <w:p w:rsidR="00D02253" w:rsidRDefault="003E5FF2" w:rsidP="00A50C8E">
      <w:pPr>
        <w:pStyle w:val="Style2"/>
        <w:widowControl/>
        <w:spacing w:line="213" w:lineRule="auto"/>
        <w:ind w:right="72"/>
        <w:rPr>
          <w:rStyle w:val="collegetextb"/>
          <w:rFonts w:asciiTheme="minorHAnsi" w:hAnsiTheme="minorHAnsi" w:cstheme="minorHAnsi"/>
          <w:b/>
          <w:szCs w:val="24"/>
          <w:u w:val="single"/>
        </w:rPr>
      </w:pPr>
      <w:r w:rsidRPr="00073F7F">
        <w:rPr>
          <w:rStyle w:val="collegetextb"/>
          <w:rFonts w:asciiTheme="minorHAnsi" w:hAnsiTheme="minorHAnsi" w:cstheme="minorHAnsi"/>
          <w:b/>
          <w:szCs w:val="24"/>
          <w:u w:val="single"/>
        </w:rPr>
        <w:t>Course Description</w:t>
      </w:r>
    </w:p>
    <w:p w:rsidR="009D2817" w:rsidRDefault="009D2817" w:rsidP="00A50C8E">
      <w:pPr>
        <w:pStyle w:val="Style2"/>
        <w:widowControl/>
        <w:spacing w:line="213" w:lineRule="auto"/>
        <w:ind w:right="72"/>
        <w:rPr>
          <w:rStyle w:val="collegetextb"/>
          <w:rFonts w:asciiTheme="minorHAnsi" w:hAnsiTheme="minorHAnsi" w:cstheme="minorHAnsi"/>
          <w:b/>
          <w:szCs w:val="24"/>
          <w:u w:val="single"/>
        </w:rPr>
      </w:pPr>
    </w:p>
    <w:p w:rsidR="00BA26BA" w:rsidRPr="00073F7F" w:rsidRDefault="00BA26BA" w:rsidP="00A50C8E">
      <w:pPr>
        <w:pStyle w:val="Style2"/>
        <w:widowControl/>
        <w:spacing w:line="213" w:lineRule="auto"/>
        <w:ind w:right="72"/>
        <w:rPr>
          <w:rStyle w:val="collegetextb"/>
          <w:rFonts w:asciiTheme="minorHAnsi" w:hAnsiTheme="minorHAnsi" w:cstheme="minorHAnsi"/>
          <w:szCs w:val="24"/>
        </w:rPr>
      </w:pPr>
    </w:p>
    <w:p w:rsidR="00BA26BA" w:rsidRPr="00BA26BA" w:rsidRDefault="00BA26BA" w:rsidP="00CD1CA9">
      <w:pPr>
        <w:autoSpaceDE w:val="0"/>
        <w:autoSpaceDN w:val="0"/>
        <w:adjustRightInd w:val="0"/>
        <w:jc w:val="both"/>
        <w:rPr>
          <w:rFonts w:eastAsiaTheme="minorHAnsi"/>
          <w:szCs w:val="24"/>
        </w:rPr>
      </w:pPr>
      <w:r w:rsidRPr="00BA26BA">
        <w:rPr>
          <w:rFonts w:eastAsiaTheme="minorHAnsi"/>
          <w:szCs w:val="24"/>
        </w:rPr>
        <w:t>Options, futures, forwards,</w:t>
      </w:r>
      <w:r w:rsidR="00CD1CA9">
        <w:rPr>
          <w:rFonts w:eastAsiaTheme="minorHAnsi"/>
          <w:szCs w:val="24"/>
        </w:rPr>
        <w:t xml:space="preserve"> </w:t>
      </w:r>
      <w:r w:rsidRPr="00BA26BA">
        <w:rPr>
          <w:rFonts w:eastAsiaTheme="minorHAnsi"/>
          <w:szCs w:val="24"/>
        </w:rPr>
        <w:t>and other derivative contracts. Investments traded in these</w:t>
      </w:r>
    </w:p>
    <w:p w:rsidR="004D2A8A" w:rsidRPr="00BA26BA" w:rsidRDefault="00BA26BA" w:rsidP="00CD1CA9">
      <w:pPr>
        <w:jc w:val="both"/>
        <w:rPr>
          <w:rFonts w:eastAsiaTheme="minorHAnsi"/>
          <w:szCs w:val="24"/>
        </w:rPr>
      </w:pPr>
      <w:r w:rsidRPr="00BA26BA">
        <w:rPr>
          <w:rFonts w:eastAsiaTheme="minorHAnsi"/>
          <w:szCs w:val="24"/>
        </w:rPr>
        <w:t>markets are examined. Pricing and hedging are considered.</w:t>
      </w:r>
    </w:p>
    <w:p w:rsidR="00BA26BA" w:rsidRDefault="00BA26BA" w:rsidP="00BA26BA"/>
    <w:p w:rsidR="00156130" w:rsidRDefault="00156130" w:rsidP="003F3E36">
      <w:pPr>
        <w:rPr>
          <w:rFonts w:asciiTheme="minorHAnsi" w:hAnsiTheme="minorHAnsi" w:cstheme="minorHAnsi"/>
          <w:b/>
          <w:szCs w:val="24"/>
          <w:u w:val="single"/>
        </w:rPr>
      </w:pPr>
      <w:r w:rsidRPr="00073F7F">
        <w:rPr>
          <w:rFonts w:asciiTheme="minorHAnsi" w:hAnsiTheme="minorHAnsi" w:cstheme="minorHAnsi"/>
          <w:b/>
          <w:szCs w:val="24"/>
          <w:u w:val="single"/>
        </w:rPr>
        <w:t>Course Prerequisites and Credit Hours</w:t>
      </w:r>
    </w:p>
    <w:p w:rsidR="004D2A8A" w:rsidRDefault="004D2A8A" w:rsidP="003F3E36">
      <w:pPr>
        <w:rPr>
          <w:rFonts w:asciiTheme="minorHAnsi" w:hAnsiTheme="minorHAnsi" w:cstheme="minorHAnsi"/>
          <w:b/>
          <w:szCs w:val="24"/>
          <w:u w:val="single"/>
        </w:rPr>
      </w:pPr>
    </w:p>
    <w:p w:rsidR="00BA26BA" w:rsidRPr="00BA26BA" w:rsidRDefault="00BA26BA" w:rsidP="003F3E36">
      <w:pPr>
        <w:rPr>
          <w:rFonts w:asciiTheme="minorHAnsi" w:hAnsiTheme="minorHAnsi" w:cstheme="minorHAnsi"/>
          <w:szCs w:val="24"/>
        </w:rPr>
      </w:pPr>
      <w:r>
        <w:rPr>
          <w:rFonts w:asciiTheme="minorHAnsi" w:hAnsiTheme="minorHAnsi" w:cstheme="minorHAnsi"/>
          <w:szCs w:val="24"/>
        </w:rPr>
        <w:t>3.0 Credit Hours. A grade of “C” or better in FIN 3403 or permission of the instructor.</w:t>
      </w:r>
    </w:p>
    <w:p w:rsidR="00A413CA" w:rsidRDefault="00A413CA" w:rsidP="003F3E36">
      <w:pPr>
        <w:rPr>
          <w:rFonts w:asciiTheme="minorHAnsi" w:hAnsiTheme="minorHAnsi" w:cstheme="minorHAnsi"/>
          <w:b/>
          <w:szCs w:val="24"/>
          <w:u w:val="single"/>
        </w:rPr>
      </w:pPr>
    </w:p>
    <w:p w:rsidR="00532AD2" w:rsidRPr="0008238B" w:rsidRDefault="00532AD2" w:rsidP="00532AD2">
      <w:pPr>
        <w:rPr>
          <w:color w:val="000000"/>
          <w:szCs w:val="24"/>
        </w:rPr>
      </w:pPr>
      <w:r w:rsidRPr="0008238B">
        <w:rPr>
          <w:color w:val="000000"/>
          <w:szCs w:val="24"/>
        </w:rPr>
        <w:t xml:space="preserve">According to Florida State Statute 6A-10.033, students must spend a minimum of 37.5 hours of </w:t>
      </w:r>
      <w:r w:rsidRPr="0008238B">
        <w:rPr>
          <w:b/>
          <w:color w:val="000000"/>
          <w:szCs w:val="24"/>
        </w:rPr>
        <w:t>in class</w:t>
      </w:r>
      <w:r w:rsidRPr="0008238B">
        <w:rPr>
          <w:color w:val="000000"/>
          <w:szCs w:val="24"/>
        </w:rPr>
        <w:t xml:space="preserve"> time during a 3-credit course. Additionally, students enrolled in a 3-credit course are expected to spend a minimum of 75 hours of  </w:t>
      </w:r>
      <w:r w:rsidRPr="0008238B">
        <w:rPr>
          <w:b/>
          <w:color w:val="000000"/>
          <w:szCs w:val="24"/>
        </w:rPr>
        <w:t>out-of-class-time</w:t>
      </w:r>
      <w:r w:rsidRPr="0008238B">
        <w:rPr>
          <w:color w:val="000000"/>
          <w:szCs w:val="24"/>
        </w:rPr>
        <w:t xml:space="preserve"> specifically working on course-related activities (i.e., reading assigned pieces, completing homework, preparing for exams and other assessments, reviewing class notes, etc.) and fulfilling any other class activities or duties as required.</w:t>
      </w:r>
    </w:p>
    <w:p w:rsidR="00532AD2" w:rsidRPr="00073F7F" w:rsidRDefault="00532AD2" w:rsidP="003F3E36">
      <w:pPr>
        <w:rPr>
          <w:rFonts w:asciiTheme="minorHAnsi" w:hAnsiTheme="minorHAnsi" w:cstheme="minorHAnsi"/>
          <w:b/>
          <w:szCs w:val="24"/>
          <w:u w:val="single"/>
        </w:rPr>
      </w:pPr>
    </w:p>
    <w:p w:rsidR="00B71CDE" w:rsidRDefault="00B71CDE" w:rsidP="003F3E36">
      <w:pPr>
        <w:rPr>
          <w:rFonts w:asciiTheme="minorHAnsi" w:hAnsiTheme="minorHAnsi" w:cstheme="minorHAnsi"/>
          <w:b/>
          <w:color w:val="1F497D" w:themeColor="text2"/>
          <w:szCs w:val="24"/>
          <w:u w:val="single"/>
        </w:rPr>
      </w:pPr>
      <w:r w:rsidRPr="00073F7F">
        <w:rPr>
          <w:rFonts w:asciiTheme="minorHAnsi" w:hAnsiTheme="minorHAnsi" w:cstheme="minorHAnsi"/>
          <w:b/>
          <w:color w:val="1F497D" w:themeColor="text2"/>
          <w:szCs w:val="24"/>
          <w:u w:val="single"/>
        </w:rPr>
        <w:t>Course Resources</w:t>
      </w:r>
    </w:p>
    <w:p w:rsidR="00CE0268" w:rsidRDefault="00CE0268" w:rsidP="003F3E36">
      <w:pPr>
        <w:rPr>
          <w:rFonts w:asciiTheme="minorHAnsi" w:hAnsiTheme="minorHAnsi" w:cstheme="minorHAnsi"/>
          <w:b/>
          <w:color w:val="1F497D" w:themeColor="text2"/>
          <w:szCs w:val="24"/>
          <w:u w:val="single"/>
        </w:rPr>
      </w:pPr>
    </w:p>
    <w:p w:rsidR="00CE0268" w:rsidRDefault="00BA26BA" w:rsidP="003F3E36">
      <w:pPr>
        <w:rPr>
          <w:rFonts w:asciiTheme="minorHAnsi" w:hAnsiTheme="minorHAnsi" w:cstheme="minorHAnsi"/>
          <w:color w:val="1F497D" w:themeColor="text2"/>
          <w:szCs w:val="24"/>
        </w:rPr>
      </w:pPr>
      <w:r>
        <w:rPr>
          <w:rFonts w:asciiTheme="minorHAnsi" w:hAnsiTheme="minorHAnsi" w:cstheme="minorHAnsi"/>
          <w:color w:val="1F497D" w:themeColor="text2"/>
          <w:szCs w:val="24"/>
        </w:rPr>
        <w:t>CBOE virtual trade at:</w:t>
      </w:r>
    </w:p>
    <w:p w:rsidR="00BA26BA" w:rsidRPr="00CE0268" w:rsidRDefault="00BA26BA" w:rsidP="003F3E36">
      <w:pPr>
        <w:rPr>
          <w:rFonts w:asciiTheme="minorHAnsi" w:hAnsiTheme="minorHAnsi" w:cstheme="minorHAnsi"/>
          <w:color w:val="1F497D" w:themeColor="text2"/>
          <w:szCs w:val="24"/>
        </w:rPr>
      </w:pPr>
    </w:p>
    <w:p w:rsidR="00BA26BA" w:rsidRDefault="000F4A45" w:rsidP="00DB31EF">
      <w:pPr>
        <w:spacing w:line="276" w:lineRule="auto"/>
      </w:pPr>
      <w:hyperlink r:id="rId8" w:history="1">
        <w:r w:rsidR="00BA26BA" w:rsidRPr="00C930C1">
          <w:rPr>
            <w:rStyle w:val="Hyperlink"/>
          </w:rPr>
          <w:t>http://www.cboe.com/tradtool/virtualtrade.aspx</w:t>
        </w:r>
      </w:hyperlink>
    </w:p>
    <w:p w:rsidR="00611D4B" w:rsidRDefault="00611D4B" w:rsidP="00DB31EF">
      <w:pPr>
        <w:spacing w:line="276" w:lineRule="auto"/>
      </w:pPr>
    </w:p>
    <w:p w:rsidR="00611D4B" w:rsidRPr="00611D4B" w:rsidRDefault="00611D4B" w:rsidP="00611D4B">
      <w:pPr>
        <w:keepNext/>
        <w:outlineLvl w:val="2"/>
        <w:rPr>
          <w:b/>
          <w:bCs/>
          <w:u w:val="single"/>
        </w:rPr>
      </w:pPr>
      <w:r w:rsidRPr="00611D4B">
        <w:rPr>
          <w:b/>
          <w:bCs/>
          <w:u w:val="single"/>
        </w:rPr>
        <w:t>Movie</w:t>
      </w:r>
    </w:p>
    <w:p w:rsidR="00611D4B" w:rsidRPr="00611D4B" w:rsidRDefault="00611D4B" w:rsidP="00611D4B">
      <w:pPr>
        <w:rPr>
          <w:szCs w:val="24"/>
          <w:u w:val="single"/>
        </w:rPr>
      </w:pPr>
    </w:p>
    <w:p w:rsidR="00611D4B" w:rsidRPr="00611D4B" w:rsidRDefault="00611D4B" w:rsidP="00611D4B">
      <w:pPr>
        <w:rPr>
          <w:szCs w:val="24"/>
        </w:rPr>
      </w:pPr>
      <w:r w:rsidRPr="00611D4B">
        <w:rPr>
          <w:szCs w:val="24"/>
        </w:rPr>
        <w:t>We will also have a video from NOVA:</w:t>
      </w:r>
    </w:p>
    <w:p w:rsidR="00611D4B" w:rsidRPr="00611D4B" w:rsidRDefault="00611D4B" w:rsidP="00611D4B">
      <w:pPr>
        <w:rPr>
          <w:szCs w:val="24"/>
        </w:rPr>
      </w:pPr>
      <w:r w:rsidRPr="00611D4B">
        <w:rPr>
          <w:szCs w:val="24"/>
        </w:rPr>
        <w:t xml:space="preserve">“Trillion Dollar Bet “about the discovery of the Black and Scholes formula </w:t>
      </w:r>
    </w:p>
    <w:p w:rsidR="00611D4B" w:rsidRPr="00611D4B" w:rsidRDefault="00611D4B" w:rsidP="00611D4B">
      <w:pPr>
        <w:rPr>
          <w:szCs w:val="24"/>
        </w:rPr>
      </w:pPr>
    </w:p>
    <w:p w:rsidR="00611D4B" w:rsidRDefault="00611D4B" w:rsidP="00611D4B">
      <w:pPr>
        <w:spacing w:line="360" w:lineRule="auto"/>
        <w:rPr>
          <w:color w:val="0000FF"/>
          <w:szCs w:val="24"/>
          <w:u w:val="single"/>
        </w:rPr>
      </w:pPr>
      <w:r w:rsidRPr="00611D4B">
        <w:rPr>
          <w:szCs w:val="24"/>
        </w:rPr>
        <w:t xml:space="preserve">More info at </w:t>
      </w:r>
      <w:hyperlink r:id="rId9" w:history="1">
        <w:r w:rsidRPr="00611D4B">
          <w:rPr>
            <w:color w:val="0000FF"/>
            <w:szCs w:val="24"/>
            <w:u w:val="single"/>
          </w:rPr>
          <w:t>http://www.pbs.org/wgbh/nova/stockmarket/</w:t>
        </w:r>
      </w:hyperlink>
    </w:p>
    <w:p w:rsidR="00A91E60" w:rsidRDefault="00A91E60" w:rsidP="009D2817">
      <w:pPr>
        <w:spacing w:line="360" w:lineRule="auto"/>
        <w:jc w:val="both"/>
      </w:pPr>
      <w:r w:rsidRPr="00080693">
        <w:rPr>
          <w:b/>
          <w:u w:val="single"/>
        </w:rPr>
        <w:t>Course Format:</w:t>
      </w:r>
      <w:r>
        <w:t xml:space="preserve"> The course is a mix of </w:t>
      </w:r>
      <w:r w:rsidR="009D2817">
        <w:t xml:space="preserve">conceptual </w:t>
      </w:r>
      <w:r>
        <w:t>lectures and analysis of actual derivatives trading strategies. Microsoft Excel will be used extensively throughout</w:t>
      </w:r>
      <w:r w:rsidR="009D2817">
        <w:t xml:space="preserve"> and students should either be proficient or willing to acquire proficiency.</w:t>
      </w:r>
    </w:p>
    <w:p w:rsidR="00BA26BA" w:rsidRDefault="00BA26BA" w:rsidP="00DB31EF">
      <w:pPr>
        <w:spacing w:line="276" w:lineRule="auto"/>
      </w:pPr>
    </w:p>
    <w:p w:rsidR="00DB31EF" w:rsidRPr="00A91E60" w:rsidRDefault="00DB31EF" w:rsidP="00DB31EF">
      <w:pPr>
        <w:spacing w:line="276" w:lineRule="auto"/>
        <w:rPr>
          <w:b/>
          <w:bCs/>
          <w:szCs w:val="24"/>
          <w:u w:val="single"/>
        </w:rPr>
      </w:pPr>
      <w:r w:rsidRPr="00A91E60">
        <w:rPr>
          <w:b/>
          <w:bCs/>
          <w:szCs w:val="24"/>
          <w:u w:val="single"/>
        </w:rPr>
        <w:t>Course Evaluation Method</w:t>
      </w:r>
    </w:p>
    <w:p w:rsidR="00DB31EF" w:rsidRDefault="00DB31EF" w:rsidP="00DB31EF">
      <w:pPr>
        <w:spacing w:line="276" w:lineRule="auto"/>
        <w:rPr>
          <w:rFonts w:asciiTheme="minorHAnsi" w:hAnsiTheme="minorHAnsi" w:cstheme="minorHAnsi"/>
          <w:bCs/>
          <w:color w:val="FF0000"/>
          <w:szCs w:val="24"/>
        </w:rPr>
      </w:pPr>
      <w:r>
        <w:rPr>
          <w:rFonts w:asciiTheme="minorHAnsi" w:hAnsiTheme="minorHAnsi" w:cstheme="minorHAnsi"/>
          <w:bCs/>
          <w:color w:val="FF0000"/>
          <w:szCs w:val="24"/>
        </w:rPr>
        <w:t>There will be two (2) in-class exams and a Project</w:t>
      </w:r>
    </w:p>
    <w:p w:rsidR="00272A57" w:rsidRDefault="00272A57" w:rsidP="00DB31EF">
      <w:pPr>
        <w:spacing w:line="276" w:lineRule="auto"/>
        <w:rPr>
          <w:rFonts w:asciiTheme="minorHAnsi" w:hAnsiTheme="minorHAnsi" w:cstheme="minorHAnsi"/>
          <w:bCs/>
          <w:color w:val="FF0000"/>
          <w:szCs w:val="24"/>
        </w:rPr>
      </w:pPr>
    </w:p>
    <w:p w:rsidR="00272A57" w:rsidRDefault="00272A57" w:rsidP="00272A57">
      <w:pPr>
        <w:spacing w:line="276" w:lineRule="auto"/>
        <w:rPr>
          <w:rFonts w:asciiTheme="minorHAnsi" w:hAnsiTheme="minorHAnsi" w:cstheme="minorHAnsi"/>
          <w:b/>
          <w:bCs/>
          <w:szCs w:val="24"/>
          <w:u w:val="single"/>
        </w:rPr>
      </w:pPr>
      <w:r>
        <w:rPr>
          <w:rFonts w:asciiTheme="minorHAnsi" w:hAnsiTheme="minorHAnsi" w:cstheme="minorHAnsi"/>
          <w:b/>
          <w:bCs/>
          <w:szCs w:val="24"/>
          <w:u w:val="single"/>
        </w:rPr>
        <w:t>Project</w:t>
      </w:r>
    </w:p>
    <w:p w:rsidR="00272A57" w:rsidRDefault="00272A57" w:rsidP="00272A57">
      <w:pPr>
        <w:spacing w:line="276" w:lineRule="auto"/>
        <w:rPr>
          <w:rFonts w:asciiTheme="minorHAnsi" w:hAnsiTheme="minorHAnsi" w:cstheme="minorHAnsi"/>
          <w:b/>
          <w:bCs/>
          <w:szCs w:val="24"/>
          <w:u w:val="single"/>
        </w:rPr>
      </w:pPr>
    </w:p>
    <w:p w:rsidR="00272A57" w:rsidRPr="00272A57" w:rsidRDefault="00272A57" w:rsidP="00DB31EF">
      <w:pPr>
        <w:spacing w:line="276" w:lineRule="auto"/>
        <w:rPr>
          <w:rFonts w:asciiTheme="minorHAnsi" w:hAnsiTheme="minorHAnsi" w:cstheme="minorHAnsi"/>
          <w:bCs/>
          <w:szCs w:val="24"/>
        </w:rPr>
      </w:pPr>
      <w:r>
        <w:rPr>
          <w:rFonts w:asciiTheme="minorHAnsi" w:hAnsiTheme="minorHAnsi" w:cstheme="minorHAnsi"/>
          <w:bCs/>
          <w:szCs w:val="24"/>
        </w:rPr>
        <w:t xml:space="preserve">The Project will consist in implementing and managing a derivatives portfolio through the “virtual trade” software of </w:t>
      </w:r>
      <w:r w:rsidR="00A34B80">
        <w:rPr>
          <w:rFonts w:asciiTheme="minorHAnsi" w:hAnsiTheme="minorHAnsi" w:cstheme="minorHAnsi"/>
          <w:bCs/>
          <w:szCs w:val="24"/>
        </w:rPr>
        <w:t xml:space="preserve">the </w:t>
      </w:r>
      <w:r>
        <w:rPr>
          <w:rFonts w:asciiTheme="minorHAnsi" w:hAnsiTheme="minorHAnsi" w:cstheme="minorHAnsi"/>
          <w:bCs/>
          <w:szCs w:val="24"/>
        </w:rPr>
        <w:t>CBOE.</w:t>
      </w:r>
    </w:p>
    <w:p w:rsidR="00CE0268" w:rsidRPr="00073F7F" w:rsidRDefault="00CE0268" w:rsidP="0063477D">
      <w:pPr>
        <w:pBdr>
          <w:top w:val="single" w:sz="5" w:space="0" w:color="FFFFFF"/>
          <w:left w:val="single" w:sz="5" w:space="0" w:color="FFFFFF"/>
          <w:bottom w:val="single" w:sz="5" w:space="1" w:color="FFFFFF"/>
          <w:right w:val="single" w:sz="5" w:space="0" w:color="FFFFFF"/>
        </w:pBdr>
        <w:rPr>
          <w:rFonts w:asciiTheme="minorHAnsi" w:hAnsiTheme="minorHAnsi" w:cstheme="minorHAnsi"/>
          <w:b/>
          <w:bCs/>
          <w:color w:val="1F497D" w:themeColor="text2"/>
          <w:szCs w:val="24"/>
          <w:u w:val="single"/>
        </w:rPr>
      </w:pPr>
    </w:p>
    <w:p w:rsidR="00227A80" w:rsidRDefault="00A50C8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color w:val="1F497D" w:themeColor="text2"/>
          <w:szCs w:val="24"/>
          <w:u w:val="single"/>
        </w:rPr>
      </w:pPr>
      <w:r w:rsidRPr="00073F7F">
        <w:rPr>
          <w:rFonts w:asciiTheme="minorHAnsi" w:hAnsiTheme="minorHAnsi" w:cstheme="minorHAnsi"/>
          <w:b/>
          <w:bCs/>
          <w:color w:val="1F497D" w:themeColor="text2"/>
          <w:szCs w:val="24"/>
          <w:u w:val="single"/>
        </w:rPr>
        <w:t xml:space="preserve">Grading Scale </w:t>
      </w:r>
    </w:p>
    <w:p w:rsidR="00CE0268" w:rsidRPr="00073F7F" w:rsidRDefault="00CE0268"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color w:val="1F497D" w:themeColor="text2"/>
          <w:szCs w:val="24"/>
          <w:u w:val="single"/>
        </w:rPr>
      </w:pPr>
    </w:p>
    <w:p w:rsidR="00CE0268" w:rsidRDefault="00CE0268" w:rsidP="00CE0268">
      <w:pPr>
        <w:spacing w:line="360" w:lineRule="auto"/>
      </w:pPr>
      <w:r>
        <w:t>Only the final grade will be curved, if needed. Exams and project</w:t>
      </w:r>
      <w:r w:rsidR="00A91E60">
        <w:t xml:space="preserve"> will not be curved. There are 3</w:t>
      </w:r>
      <w:r>
        <w:t>00 possible points, and grades will be determined as follows:</w:t>
      </w:r>
    </w:p>
    <w:p w:rsidR="00CE0268" w:rsidRDefault="00CE0268" w:rsidP="00CE0268">
      <w:pPr>
        <w:spacing w:line="360" w:lineRule="auto"/>
      </w:pPr>
      <w:r>
        <w:t>Mid_term:           100 points</w:t>
      </w:r>
    </w:p>
    <w:p w:rsidR="00CE0268" w:rsidRDefault="00CE0268" w:rsidP="00CE0268">
      <w:pPr>
        <w:spacing w:line="360" w:lineRule="auto"/>
      </w:pPr>
      <w:r>
        <w:t>Final       :            100 points</w:t>
      </w:r>
    </w:p>
    <w:p w:rsidR="00CE0268" w:rsidRDefault="008F032D" w:rsidP="00CE0268">
      <w:pPr>
        <w:spacing w:line="360" w:lineRule="auto"/>
      </w:pPr>
      <w:r>
        <w:t xml:space="preserve">Project:               </w:t>
      </w:r>
      <w:r w:rsidR="00BA26BA">
        <w:t>1</w:t>
      </w:r>
      <w:r w:rsidR="00CE0268">
        <w:t>00 points</w:t>
      </w:r>
    </w:p>
    <w:p w:rsidR="00CE0268" w:rsidRDefault="00CE0268" w:rsidP="00CE0268">
      <w:pPr>
        <w:spacing w:line="360" w:lineRule="auto"/>
      </w:pPr>
      <w:r>
        <w:t xml:space="preserve">Total:                   </w:t>
      </w:r>
      <w:r w:rsidR="00BA26BA">
        <w:t>3</w:t>
      </w:r>
      <w:r>
        <w:t>00 points</w:t>
      </w:r>
    </w:p>
    <w:p w:rsidR="00CE0268" w:rsidRDefault="00CE0268" w:rsidP="00CE0268">
      <w:pPr>
        <w:spacing w:line="360" w:lineRule="auto"/>
      </w:pPr>
    </w:p>
    <w:p w:rsidR="00CE0268" w:rsidRDefault="00CE0268" w:rsidP="00CE0268">
      <w:pPr>
        <w:spacing w:line="360" w:lineRule="auto"/>
      </w:pPr>
      <w:r>
        <w:t>A 90 % or above of possible points</w:t>
      </w:r>
    </w:p>
    <w:p w:rsidR="00CE0268" w:rsidRDefault="00CE0268" w:rsidP="00CE0268">
      <w:pPr>
        <w:spacing w:line="360" w:lineRule="auto"/>
      </w:pPr>
      <w:r>
        <w:t>B 80%-89.9% of possible points</w:t>
      </w:r>
    </w:p>
    <w:p w:rsidR="00CE0268" w:rsidRDefault="00CE0268" w:rsidP="00CE0268">
      <w:pPr>
        <w:spacing w:line="360" w:lineRule="auto"/>
      </w:pPr>
      <w:r>
        <w:t>C 70%-79.9% of possible points</w:t>
      </w:r>
    </w:p>
    <w:p w:rsidR="00CE0268" w:rsidRDefault="00CE0268" w:rsidP="00CE0268">
      <w:pPr>
        <w:spacing w:line="360" w:lineRule="auto"/>
      </w:pPr>
      <w:r>
        <w:lastRenderedPageBreak/>
        <w:t>D 60%-69.9% of possible points</w:t>
      </w:r>
    </w:p>
    <w:p w:rsidR="00CE0268" w:rsidRDefault="00CE0268" w:rsidP="00CE0268">
      <w:pPr>
        <w:spacing w:line="360" w:lineRule="auto"/>
      </w:pPr>
      <w:r>
        <w:t>F below 60% of possible points</w:t>
      </w:r>
    </w:p>
    <w:p w:rsidR="00156130" w:rsidRPr="00A34B80" w:rsidRDefault="00CE0268" w:rsidP="00A34B80">
      <w:pPr>
        <w:pBdr>
          <w:top w:val="single" w:sz="5" w:space="0" w:color="FFFFFF"/>
          <w:left w:val="single" w:sz="5" w:space="0" w:color="FFFFFF"/>
          <w:bottom w:val="single" w:sz="5" w:space="0" w:color="FFFFFF"/>
          <w:right w:val="single" w:sz="5" w:space="0" w:color="FFFFFF"/>
        </w:pBdr>
        <w:rPr>
          <w:rFonts w:asciiTheme="minorHAnsi" w:hAnsiTheme="minorHAnsi" w:cstheme="minorHAnsi"/>
          <w:bCs/>
          <w:color w:val="1F497D" w:themeColor="text2"/>
          <w:szCs w:val="24"/>
        </w:rPr>
      </w:pPr>
      <w:r>
        <w:t>Plus and Minus grades will be assigned with respect to the mid-point in each letter grade.</w:t>
      </w:r>
    </w:p>
    <w:p w:rsidR="00314BEA" w:rsidRPr="00073F7F" w:rsidRDefault="00314BEA" w:rsidP="00314BEA">
      <w:pPr>
        <w:tabs>
          <w:tab w:val="left" w:pos="0"/>
        </w:tabs>
        <w:suppressAutoHyphens/>
        <w:rPr>
          <w:rFonts w:asciiTheme="minorHAnsi" w:hAnsiTheme="minorHAnsi" w:cstheme="minorHAnsi"/>
          <w:szCs w:val="24"/>
          <w:u w:val="single"/>
        </w:rPr>
      </w:pPr>
    </w:p>
    <w:p w:rsidR="00DB31EF" w:rsidRDefault="00DB31EF" w:rsidP="00DB31EF">
      <w:pPr>
        <w:spacing w:line="360" w:lineRule="auto"/>
      </w:pPr>
      <w:r>
        <w:rPr>
          <w:b/>
          <w:bCs/>
        </w:rPr>
        <w:t>Make-up Exam</w:t>
      </w:r>
      <w:r>
        <w:t>: Make-up exams will only be given in extraordinary circumstances for a valid and documented reason. Conflicts with examinations dates or times need to be brought to the attention of the instructor at least one week before the exam so that arrangements can be made. The instructor reserves the right to give a make-up exam different from the one given at the regularly scheduled exam.</w:t>
      </w:r>
    </w:p>
    <w:p w:rsidR="00097658" w:rsidRPr="00A91E60" w:rsidRDefault="00097658" w:rsidP="00A4407B">
      <w:pPr>
        <w:rPr>
          <w:rFonts w:asciiTheme="minorHAnsi" w:hAnsiTheme="minorHAnsi" w:cstheme="minorHAnsi"/>
          <w:b/>
          <w:szCs w:val="24"/>
          <w:u w:val="single"/>
        </w:rPr>
      </w:pPr>
      <w:r w:rsidRPr="00A91E60">
        <w:rPr>
          <w:rFonts w:asciiTheme="minorHAnsi" w:hAnsiTheme="minorHAnsi" w:cstheme="minorHAnsi"/>
          <w:b/>
          <w:szCs w:val="24"/>
          <w:u w:val="single"/>
        </w:rPr>
        <w:t>Attendance Policy</w:t>
      </w:r>
    </w:p>
    <w:p w:rsidR="0007528B" w:rsidRPr="00073F7F" w:rsidRDefault="0007528B" w:rsidP="0007528B">
      <w:pPr>
        <w:rPr>
          <w:rFonts w:asciiTheme="minorHAnsi" w:hAnsiTheme="minorHAnsi" w:cstheme="minorHAnsi"/>
          <w:color w:val="FF0000"/>
          <w:szCs w:val="24"/>
        </w:rPr>
      </w:pPr>
    </w:p>
    <w:p w:rsidR="007A1BB8" w:rsidRDefault="00DB31EF" w:rsidP="00A4407B">
      <w:r>
        <w:t>Class attendance is a necessary (though not sufficient) condition for success.</w:t>
      </w:r>
      <w:r w:rsidR="0014477C">
        <w:t xml:space="preserve"> Always bring an electronic calculator in class.</w:t>
      </w:r>
    </w:p>
    <w:p w:rsidR="007A1BB8" w:rsidRDefault="007A1BB8">
      <w:pPr>
        <w:spacing w:after="200" w:line="276" w:lineRule="auto"/>
      </w:pPr>
    </w:p>
    <w:p w:rsidR="00314BEA" w:rsidRDefault="00314BEA" w:rsidP="00A4407B"/>
    <w:p w:rsidR="00DB31EF" w:rsidRPr="00073F7F" w:rsidRDefault="00DB31EF" w:rsidP="00A4407B">
      <w:pPr>
        <w:rPr>
          <w:rFonts w:asciiTheme="minorHAnsi" w:hAnsiTheme="minorHAnsi" w:cstheme="minorHAnsi"/>
          <w:szCs w:val="24"/>
          <w:u w:val="single"/>
        </w:rPr>
      </w:pPr>
    </w:p>
    <w:p w:rsidR="00097658" w:rsidRPr="00A91E60" w:rsidRDefault="00CE0268" w:rsidP="00097658">
      <w:pPr>
        <w:rPr>
          <w:rFonts w:asciiTheme="minorHAnsi" w:hAnsiTheme="minorHAnsi" w:cstheme="minorHAnsi"/>
          <w:b/>
          <w:szCs w:val="24"/>
          <w:u w:val="single"/>
        </w:rPr>
      </w:pPr>
      <w:r w:rsidRPr="00A91E60">
        <w:rPr>
          <w:rFonts w:asciiTheme="minorHAnsi" w:hAnsiTheme="minorHAnsi" w:cstheme="minorHAnsi"/>
          <w:b/>
          <w:color w:val="1F497D" w:themeColor="text2"/>
          <w:szCs w:val="24"/>
          <w:u w:val="single"/>
        </w:rPr>
        <w:t xml:space="preserve">Tentative </w:t>
      </w:r>
      <w:r w:rsidR="00097658" w:rsidRPr="00A91E60">
        <w:rPr>
          <w:rFonts w:asciiTheme="minorHAnsi" w:hAnsiTheme="minorHAnsi" w:cstheme="minorHAnsi"/>
          <w:b/>
          <w:szCs w:val="24"/>
          <w:u w:val="single"/>
        </w:rPr>
        <w:t>Course Outline</w:t>
      </w:r>
    </w:p>
    <w:p w:rsidR="00CE0268" w:rsidRPr="00073F7F" w:rsidRDefault="00CE0268" w:rsidP="00097658">
      <w:pPr>
        <w:rPr>
          <w:rFonts w:asciiTheme="minorHAnsi" w:hAnsiTheme="minorHAnsi" w:cstheme="minorHAnsi"/>
          <w:szCs w:val="24"/>
          <w:u w:val="single"/>
        </w:rPr>
      </w:pPr>
    </w:p>
    <w:p w:rsidR="00611D4B" w:rsidRDefault="007A1BB8" w:rsidP="00CE0268">
      <w:pPr>
        <w:spacing w:line="360" w:lineRule="auto"/>
      </w:pPr>
      <w:r>
        <w:rPr>
          <w:b/>
        </w:rPr>
        <w:t>Week 1</w:t>
      </w:r>
      <w:r w:rsidR="00B65D8A">
        <w:t xml:space="preserve"> Introduction: W</w:t>
      </w:r>
      <w:r w:rsidR="00873FF4">
        <w:t xml:space="preserve">hat are Derivatives? </w:t>
      </w:r>
    </w:p>
    <w:p w:rsidR="00CE0268" w:rsidRDefault="007A1BB8" w:rsidP="00CE0268">
      <w:pPr>
        <w:spacing w:line="360" w:lineRule="auto"/>
      </w:pPr>
      <w:r>
        <w:rPr>
          <w:b/>
        </w:rPr>
        <w:t>Week 2</w:t>
      </w:r>
      <w:r w:rsidR="00873FF4">
        <w:rPr>
          <w:b/>
        </w:rPr>
        <w:t xml:space="preserve"> </w:t>
      </w:r>
      <w:r w:rsidR="00873FF4">
        <w:t>Pricing Forwards and Futures: The basic theory.</w:t>
      </w:r>
    </w:p>
    <w:p w:rsidR="00CE0268" w:rsidRDefault="007A1BB8" w:rsidP="00CE0268">
      <w:pPr>
        <w:spacing w:line="360" w:lineRule="auto"/>
      </w:pPr>
      <w:r>
        <w:rPr>
          <w:b/>
        </w:rPr>
        <w:t>Week 3</w:t>
      </w:r>
      <w:r w:rsidR="00CE0268" w:rsidRPr="00617B9C">
        <w:rPr>
          <w:b/>
        </w:rPr>
        <w:t xml:space="preserve"> </w:t>
      </w:r>
      <w:r w:rsidR="00873FF4">
        <w:t>Pricing Forward</w:t>
      </w:r>
      <w:r w:rsidR="004F1157">
        <w:t>s and Futures: Building on the f</w:t>
      </w:r>
      <w:r w:rsidR="00873FF4">
        <w:t>oundations</w:t>
      </w:r>
      <w:r w:rsidR="00CE0268">
        <w:t xml:space="preserve"> </w:t>
      </w:r>
    </w:p>
    <w:p w:rsidR="00CE0268" w:rsidRDefault="007A1BB8" w:rsidP="00CE0268">
      <w:pPr>
        <w:spacing w:line="360" w:lineRule="auto"/>
      </w:pPr>
      <w:r>
        <w:rPr>
          <w:b/>
        </w:rPr>
        <w:t>Week 4</w:t>
      </w:r>
      <w:r w:rsidR="00CE0268">
        <w:t xml:space="preserve"> </w:t>
      </w:r>
      <w:r w:rsidR="00873FF4">
        <w:t>Hedging with Forwards and Futures</w:t>
      </w:r>
    </w:p>
    <w:p w:rsidR="00CE0268" w:rsidRDefault="007A1BB8" w:rsidP="00CE0268">
      <w:pPr>
        <w:spacing w:line="360" w:lineRule="auto"/>
      </w:pPr>
      <w:r>
        <w:rPr>
          <w:b/>
        </w:rPr>
        <w:t>Week 5</w:t>
      </w:r>
      <w:r w:rsidR="00CE0268">
        <w:t xml:space="preserve">Interest Rate </w:t>
      </w:r>
      <w:r w:rsidR="00873FF4">
        <w:t>Forwards and Futures</w:t>
      </w:r>
    </w:p>
    <w:p w:rsidR="00CE0268" w:rsidRDefault="00272A57" w:rsidP="00CE0268">
      <w:pPr>
        <w:spacing w:line="360" w:lineRule="auto"/>
      </w:pPr>
      <w:r>
        <w:rPr>
          <w:b/>
        </w:rPr>
        <w:t>Week 6</w:t>
      </w:r>
      <w:r w:rsidR="00CE0268">
        <w:t xml:space="preserve"> </w:t>
      </w:r>
      <w:r w:rsidR="00873FF4">
        <w:t>Interest Rate Swaps</w:t>
      </w:r>
      <w:r w:rsidR="00CE0268">
        <w:t xml:space="preserve"> </w:t>
      </w:r>
      <w:r w:rsidR="00095EF6">
        <w:t xml:space="preserve"> </w:t>
      </w:r>
    </w:p>
    <w:p w:rsidR="00CE0268" w:rsidRPr="00873FF4" w:rsidRDefault="00272A57" w:rsidP="00CE0268">
      <w:pPr>
        <w:spacing w:line="360" w:lineRule="auto"/>
      </w:pPr>
      <w:r>
        <w:rPr>
          <w:b/>
        </w:rPr>
        <w:t>Week 7</w:t>
      </w:r>
      <w:r w:rsidR="00873FF4">
        <w:rPr>
          <w:b/>
        </w:rPr>
        <w:t xml:space="preserve"> </w:t>
      </w:r>
      <w:r w:rsidR="00873FF4" w:rsidRPr="00873FF4">
        <w:t>Equity</w:t>
      </w:r>
      <w:r w:rsidR="00873FF4">
        <w:t xml:space="preserve"> and Commodity S</w:t>
      </w:r>
      <w:r w:rsidR="00873FF4" w:rsidRPr="00873FF4">
        <w:t>waps</w:t>
      </w:r>
    </w:p>
    <w:p w:rsidR="00CE0268" w:rsidRPr="00CE0268" w:rsidRDefault="00272A57" w:rsidP="00CE0268">
      <w:pPr>
        <w:spacing w:line="360" w:lineRule="auto"/>
        <w:rPr>
          <w:b/>
          <w:highlight w:val="yellow"/>
        </w:rPr>
      </w:pPr>
      <w:r>
        <w:rPr>
          <w:b/>
          <w:highlight w:val="yellow"/>
        </w:rPr>
        <w:t>Week 8</w:t>
      </w:r>
    </w:p>
    <w:p w:rsidR="00CE0268" w:rsidRDefault="00272A57" w:rsidP="00CE0268">
      <w:pPr>
        <w:spacing w:line="360" w:lineRule="auto"/>
        <w:ind w:firstLine="720"/>
      </w:pPr>
      <w:r>
        <w:t>Mid-Term Exam</w:t>
      </w:r>
      <w:r w:rsidR="00873FF4">
        <w:t>. Movie.</w:t>
      </w:r>
    </w:p>
    <w:p w:rsidR="00CE0268" w:rsidRPr="00611D4B" w:rsidRDefault="00272A57" w:rsidP="00CE0268">
      <w:pPr>
        <w:spacing w:line="360" w:lineRule="auto"/>
      </w:pPr>
      <w:r>
        <w:rPr>
          <w:b/>
        </w:rPr>
        <w:t>Week 9</w:t>
      </w:r>
      <w:r w:rsidR="00611D4B">
        <w:rPr>
          <w:b/>
        </w:rPr>
        <w:t xml:space="preserve"> </w:t>
      </w:r>
      <w:r w:rsidR="00611D4B" w:rsidRPr="00611D4B">
        <w:t>Option</w:t>
      </w:r>
      <w:r w:rsidR="00611D4B">
        <w:t>s</w:t>
      </w:r>
      <w:r w:rsidR="00611D4B" w:rsidRPr="00611D4B">
        <w:t xml:space="preserve"> Markets Introduction</w:t>
      </w:r>
    </w:p>
    <w:p w:rsidR="00CE0268" w:rsidRDefault="00272A57" w:rsidP="00611D4B">
      <w:pPr>
        <w:spacing w:line="360" w:lineRule="auto"/>
      </w:pPr>
      <w:r>
        <w:rPr>
          <w:b/>
        </w:rPr>
        <w:t>Week 10</w:t>
      </w:r>
      <w:r w:rsidR="00CE0268">
        <w:rPr>
          <w:b/>
        </w:rPr>
        <w:t xml:space="preserve"> </w:t>
      </w:r>
      <w:r w:rsidR="00CE0268">
        <w:t xml:space="preserve">Options Markets, Payoffs </w:t>
      </w:r>
      <w:r w:rsidR="00611D4B">
        <w:t>and Trading Strategies</w:t>
      </w:r>
    </w:p>
    <w:p w:rsidR="00CE0268" w:rsidRPr="00617B9C" w:rsidRDefault="00272A57" w:rsidP="00CE0268">
      <w:pPr>
        <w:spacing w:line="360" w:lineRule="auto"/>
      </w:pPr>
      <w:r>
        <w:rPr>
          <w:b/>
        </w:rPr>
        <w:t>Week 11</w:t>
      </w:r>
      <w:r w:rsidR="00CE0268" w:rsidRPr="00617B9C">
        <w:rPr>
          <w:b/>
        </w:rPr>
        <w:t xml:space="preserve"> </w:t>
      </w:r>
      <w:r w:rsidR="00611D4B" w:rsidRPr="00611D4B">
        <w:t>Opt</w:t>
      </w:r>
      <w:r w:rsidR="00611D4B">
        <w:t>ions Pricing Primer:</w:t>
      </w:r>
      <w:r w:rsidR="00611D4B">
        <w:rPr>
          <w:b/>
        </w:rPr>
        <w:t xml:space="preserve"> </w:t>
      </w:r>
      <w:r w:rsidR="00CE0268" w:rsidRPr="00617B9C">
        <w:t>The</w:t>
      </w:r>
      <w:r w:rsidR="00CE0268">
        <w:rPr>
          <w:b/>
        </w:rPr>
        <w:t xml:space="preserve"> </w:t>
      </w:r>
      <w:r w:rsidR="00CE0268">
        <w:t>Binomial Model</w:t>
      </w:r>
    </w:p>
    <w:p w:rsidR="00CE0268" w:rsidRDefault="00272A57" w:rsidP="00CE0268">
      <w:pPr>
        <w:spacing w:line="360" w:lineRule="auto"/>
      </w:pPr>
      <w:r>
        <w:rPr>
          <w:b/>
        </w:rPr>
        <w:t>Week 12</w:t>
      </w:r>
      <w:r w:rsidR="00CE0268">
        <w:t xml:space="preserve"> </w:t>
      </w:r>
      <w:r w:rsidR="00611D4B">
        <w:t>Options Pricing: The Black and Scholes Models.</w:t>
      </w:r>
    </w:p>
    <w:p w:rsidR="00CE0268" w:rsidRDefault="00272A57" w:rsidP="00611D4B">
      <w:pPr>
        <w:spacing w:line="360" w:lineRule="auto"/>
      </w:pPr>
      <w:r>
        <w:rPr>
          <w:b/>
        </w:rPr>
        <w:lastRenderedPageBreak/>
        <w:t xml:space="preserve">Week </w:t>
      </w:r>
      <w:r w:rsidR="00B65D8A">
        <w:rPr>
          <w:b/>
        </w:rPr>
        <w:t>13</w:t>
      </w:r>
      <w:r w:rsidR="00B65D8A">
        <w:t xml:space="preserve"> Options t</w:t>
      </w:r>
      <w:r w:rsidR="00611D4B">
        <w:t>rading using the “Greek” parameters.</w:t>
      </w:r>
    </w:p>
    <w:p w:rsidR="00CE0268" w:rsidRDefault="00272A57" w:rsidP="00CE0268">
      <w:pPr>
        <w:spacing w:line="360" w:lineRule="auto"/>
      </w:pPr>
      <w:r>
        <w:rPr>
          <w:b/>
        </w:rPr>
        <w:t>Week 14</w:t>
      </w:r>
      <w:r w:rsidR="00CE0268">
        <w:t xml:space="preserve"> Credit Risk</w:t>
      </w:r>
      <w:r w:rsidR="00611D4B">
        <w:t xml:space="preserve"> Derivaties</w:t>
      </w:r>
    </w:p>
    <w:p w:rsidR="00CE0268" w:rsidRDefault="00272A57" w:rsidP="00CE0268">
      <w:pPr>
        <w:spacing w:line="360" w:lineRule="auto"/>
      </w:pPr>
      <w:r>
        <w:rPr>
          <w:b/>
        </w:rPr>
        <w:t>Week 15</w:t>
      </w:r>
      <w:r w:rsidR="00CE0268">
        <w:t xml:space="preserve"> </w:t>
      </w:r>
      <w:r w:rsidR="00611D4B">
        <w:t>Value at Risk (VaR)</w:t>
      </w:r>
    </w:p>
    <w:p w:rsidR="00CE0268" w:rsidRDefault="00272A57" w:rsidP="00CE0268">
      <w:pPr>
        <w:spacing w:line="360" w:lineRule="auto"/>
      </w:pPr>
      <w:r>
        <w:rPr>
          <w:b/>
        </w:rPr>
        <w:t>Week 16</w:t>
      </w:r>
      <w:r w:rsidR="00CE0268">
        <w:t xml:space="preserve"> </w:t>
      </w:r>
      <w:r w:rsidR="00611D4B">
        <w:t>Spec</w:t>
      </w:r>
      <w:r w:rsidR="00B65D8A">
        <w:t>ial Topics.</w:t>
      </w:r>
      <w:r w:rsidR="00611D4B">
        <w:t xml:space="preserve"> Project Results Discussion.</w:t>
      </w:r>
    </w:p>
    <w:p w:rsidR="00611D4B" w:rsidRPr="00B65D8A" w:rsidRDefault="00611D4B" w:rsidP="00CE0268">
      <w:pPr>
        <w:spacing w:line="360" w:lineRule="auto"/>
        <w:rPr>
          <w:vertAlign w:val="subscript"/>
        </w:rPr>
      </w:pPr>
    </w:p>
    <w:p w:rsidR="00CE0268" w:rsidRDefault="00CE0268" w:rsidP="00CE0268">
      <w:pPr>
        <w:spacing w:line="360" w:lineRule="auto"/>
      </w:pPr>
      <w:r w:rsidRPr="00CE0268">
        <w:rPr>
          <w:highlight w:val="yellow"/>
        </w:rPr>
        <w:t>Final Exam</w:t>
      </w:r>
    </w:p>
    <w:p w:rsidR="00077E8C" w:rsidRDefault="00077E8C" w:rsidP="00CE0268">
      <w:pPr>
        <w:spacing w:line="360" w:lineRule="auto"/>
      </w:pPr>
    </w:p>
    <w:p w:rsidR="00077E8C" w:rsidRDefault="00077E8C" w:rsidP="00272A57">
      <w:pPr>
        <w:spacing w:line="360" w:lineRule="auto"/>
      </w:pPr>
      <w:r>
        <w:rPr>
          <w:b/>
          <w:bCs/>
        </w:rPr>
        <w:t>Drop Policy:</w:t>
      </w:r>
      <w:r>
        <w:t xml:space="preserve"> The official university policy will be followed. </w:t>
      </w:r>
    </w:p>
    <w:p w:rsidR="00272A57" w:rsidRDefault="00272A57" w:rsidP="00272A57">
      <w:pPr>
        <w:spacing w:line="360" w:lineRule="auto"/>
      </w:pPr>
    </w:p>
    <w:p w:rsidR="00156130" w:rsidRPr="00073F7F" w:rsidRDefault="00156130" w:rsidP="00156130">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t>Selected University and College Policies</w:t>
      </w:r>
    </w:p>
    <w:p w:rsidR="00156130" w:rsidRPr="00073F7F" w:rsidRDefault="00156130" w:rsidP="00156130">
      <w:pPr>
        <w:autoSpaceDE w:val="0"/>
        <w:autoSpaceDN w:val="0"/>
        <w:adjustRightInd w:val="0"/>
        <w:rPr>
          <w:rFonts w:asciiTheme="minorHAnsi" w:eastAsiaTheme="minorHAnsi" w:hAnsiTheme="minorHAnsi" w:cstheme="minorHAnsi"/>
          <w:color w:val="000000"/>
          <w:szCs w:val="24"/>
          <w:u w:val="single"/>
        </w:rPr>
      </w:pPr>
      <w:r w:rsidRPr="00073F7F">
        <w:rPr>
          <w:rFonts w:asciiTheme="minorHAnsi" w:eastAsiaTheme="minorHAnsi" w:hAnsiTheme="minorHAnsi" w:cstheme="minorHAnsi"/>
          <w:color w:val="000000"/>
          <w:szCs w:val="24"/>
          <w:u w:val="single"/>
        </w:rPr>
        <w:t>Code of Academic Integrity Policy Statement</w:t>
      </w:r>
    </w:p>
    <w:p w:rsidR="00156130" w:rsidRPr="00073F7F" w:rsidRDefault="00156130" w:rsidP="00156130">
      <w:pPr>
        <w:autoSpaceDE w:val="0"/>
        <w:autoSpaceDN w:val="0"/>
        <w:adjustRightInd w:val="0"/>
        <w:rPr>
          <w:rFonts w:asciiTheme="minorHAnsi" w:eastAsiaTheme="minorHAnsi" w:hAnsiTheme="minorHAnsi" w:cstheme="minorHAnsi"/>
          <w:iCs/>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073F7F" w:rsidRDefault="00156130" w:rsidP="00156130">
      <w:pPr>
        <w:autoSpaceDE w:val="0"/>
        <w:autoSpaceDN w:val="0"/>
        <w:adjustRightInd w:val="0"/>
        <w:rPr>
          <w:rFonts w:asciiTheme="minorHAnsi" w:eastAsiaTheme="minorHAnsi" w:hAnsiTheme="minorHAnsi" w:cstheme="minorHAnsi"/>
          <w:color w:val="000000"/>
          <w:szCs w:val="24"/>
        </w:rPr>
      </w:pPr>
      <w:r w:rsidRPr="00073F7F">
        <w:rPr>
          <w:rFonts w:asciiTheme="minorHAnsi" w:eastAsiaTheme="minorHAnsi" w:hAnsiTheme="minorHAnsi" w:cstheme="minorHAnsi"/>
          <w:iCs/>
          <w:color w:val="000000"/>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0" w:tgtFrame="_blank" w:history="1">
        <w:r w:rsidR="007A7FEB">
          <w:rPr>
            <w:rStyle w:val="Hyperlink"/>
          </w:rPr>
          <w:t>http://www.fau.edu/regulations/chapter4/4.001_Code_of_Academic_Integrity.pdf</w:t>
        </w:r>
      </w:hyperlink>
      <w:r w:rsidRPr="00073F7F">
        <w:rPr>
          <w:rFonts w:asciiTheme="minorHAnsi" w:eastAsiaTheme="minorHAnsi" w:hAnsiTheme="minorHAnsi" w:cstheme="minorHAnsi"/>
          <w:iCs/>
          <w:color w:val="000000"/>
          <w:szCs w:val="24"/>
        </w:rPr>
        <w:t xml:space="preserve">.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u w:val="single"/>
        </w:rPr>
        <w:t>Disability Policy Statement</w:t>
      </w:r>
      <w:r w:rsidRPr="00073F7F">
        <w:rPr>
          <w:rFonts w:asciiTheme="minorHAnsi" w:hAnsiTheme="minorHAnsi" w:cstheme="minorHAnsi"/>
          <w:szCs w:val="24"/>
        </w:rPr>
        <w:t xml:space="preserve">  </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In compliance with the Americans with Disabilities Act (ADA), students who require special accommodation due to a disability to properly execute coursework must register with the Office for Students with Disabilities (</w:t>
      </w:r>
      <w:hyperlink r:id="rId11" w:history="1">
        <w:r w:rsidRPr="00073F7F">
          <w:rPr>
            <w:rStyle w:val="Hyperlink"/>
            <w:rFonts w:asciiTheme="minorHAnsi" w:hAnsiTheme="minorHAnsi" w:cstheme="minorHAnsi"/>
            <w:szCs w:val="24"/>
          </w:rPr>
          <w:t>OSD</w:t>
        </w:r>
      </w:hyperlink>
      <w:r w:rsidRPr="00073F7F">
        <w:rPr>
          <w:rFonts w:asciiTheme="minorHAnsi" w:hAnsiTheme="minorHAnsi" w:cstheme="minorHAnsi"/>
          <w:szCs w:val="24"/>
        </w:rPr>
        <w:t>)  – in Boca Raton, SU 133, (561) 297-3880; in Davie, MOD 1, (954) 236-1222; in Jupiter, SR 117, (561) 799-8585; or, at the Treasure Coast, CO 128, (772) 873-3305 – and follow all OSD procedures.</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Religious Accommodation Policy Statement  </w:t>
      </w:r>
    </w:p>
    <w:p w:rsidR="00156130" w:rsidRPr="00073F7F" w:rsidRDefault="00156130" w:rsidP="00156130">
      <w:pPr>
        <w:rPr>
          <w:rFonts w:asciiTheme="minorHAnsi" w:hAnsiTheme="minorHAnsi" w:cstheme="minorHAnsi"/>
        </w:rPr>
      </w:pPr>
      <w:r w:rsidRPr="00073F7F">
        <w:rPr>
          <w:rFonts w:asciiTheme="minorHAnsi" w:hAnsiTheme="minorHAnsi" w:cstheme="minorHAnsi"/>
          <w:szCs w:val="24"/>
        </w:rPr>
        <w:t xml:space="preserve">In accordance with rules of the Florida Board of Education and Florida law, students have the right to reasonable accommodations from the University in order to observe religious practices </w:t>
      </w:r>
      <w:r w:rsidRPr="00073F7F">
        <w:rPr>
          <w:rFonts w:asciiTheme="minorHAnsi" w:hAnsiTheme="minorHAnsi" w:cstheme="minorHAnsi"/>
          <w:b/>
          <w:szCs w:val="24"/>
        </w:rPr>
        <w:t>and beliefs with regard to admissions, registration, class attendance and the scheduling of</w:t>
      </w:r>
      <w:r w:rsidRPr="00073F7F">
        <w:rPr>
          <w:rFonts w:asciiTheme="minorHAnsi" w:hAnsiTheme="minorHAnsi" w:cstheme="minorHAnsi"/>
          <w:szCs w:val="24"/>
        </w:rPr>
        <w:t xml:space="preserve"> examinations and work assignments.  For further information, please see</w:t>
      </w:r>
      <w:r w:rsidRPr="00073F7F">
        <w:rPr>
          <w:rFonts w:asciiTheme="minorHAnsi" w:hAnsiTheme="minorHAnsi" w:cstheme="minorHAnsi"/>
        </w:rPr>
        <w:t xml:space="preserve"> </w:t>
      </w:r>
      <w:hyperlink r:id="rId12" w:history="1">
        <w:r w:rsidRPr="00073F7F">
          <w:rPr>
            <w:rStyle w:val="Hyperlink"/>
            <w:rFonts w:asciiTheme="minorHAnsi" w:hAnsiTheme="minorHAnsi" w:cstheme="minorHAnsi"/>
          </w:rPr>
          <w:t>Academic Policies and Regulations</w:t>
        </w:r>
      </w:hyperlink>
      <w:r w:rsidRPr="00073F7F">
        <w:rPr>
          <w:rFonts w:asciiTheme="minorHAnsi" w:hAnsiTheme="minorHAnsi" w:cstheme="minorHAnsi"/>
        </w:rPr>
        <w:t xml:space="preserve">.  </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University Approved Absence Policy Statement  </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lastRenderedPageBreak/>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College of Business Minimum Grade Policy Statement</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Incomplete Grade Policy Statement</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pStyle w:val="Default"/>
        <w:rPr>
          <w:rFonts w:asciiTheme="minorHAnsi" w:hAnsiTheme="minorHAnsi" w:cstheme="minorHAnsi"/>
          <w:u w:val="single"/>
        </w:rPr>
      </w:pPr>
      <w:r w:rsidRPr="00073F7F">
        <w:rPr>
          <w:rFonts w:asciiTheme="minorHAnsi" w:hAnsiTheme="minorHAnsi" w:cstheme="minorHAnsi"/>
          <w:u w:val="single"/>
        </w:rPr>
        <w:t>Withdrawals</w:t>
      </w:r>
    </w:p>
    <w:p w:rsidR="00156130" w:rsidRPr="00073F7F" w:rsidRDefault="00156130" w:rsidP="00156130">
      <w:pPr>
        <w:pStyle w:val="Default"/>
        <w:rPr>
          <w:rFonts w:asciiTheme="minorHAnsi" w:hAnsiTheme="minorHAnsi" w:cstheme="minorHAnsi"/>
        </w:rPr>
      </w:pPr>
      <w:r w:rsidRPr="00073F7F">
        <w:rPr>
          <w:rFonts w:asciiTheme="minorHAnsi" w:hAnsiTheme="minorHAnsi" w:cstheme="minorHAnsi"/>
        </w:rPr>
        <w:t xml:space="preserve">Any student who decides to drop is responsible for completing the proper paper work required to withdraw from the course.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Grade Appeal Process</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may request a review of the final course grade when s/he believes that one of the following conditions apply:</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computational or recording error in the grading.</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Non-academic criteria were applied in the grading process.</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gross violation of the instructor’s own grading system.</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procedures for a grade appeal may be found in </w:t>
      </w:r>
      <w:hyperlink r:id="rId13" w:tooltip="4.002_Student_Academic_Grievance_Procedures_for_Grade_Reviews.pdf" w:history="1">
        <w:r w:rsidRPr="00073F7F">
          <w:rPr>
            <w:rFonts w:asciiTheme="minorHAnsi" w:hAnsiTheme="minorHAnsi" w:cstheme="minorHAnsi"/>
            <w:color w:val="0000FF"/>
            <w:szCs w:val="24"/>
            <w:u w:val="single"/>
          </w:rPr>
          <w:t>Chapter 4 of the University Regulations</w:t>
        </w:r>
      </w:hyperlink>
      <w:r w:rsidRPr="00073F7F">
        <w:rPr>
          <w:rFonts w:asciiTheme="minorHAnsi" w:hAnsiTheme="minorHAnsi" w:cstheme="minorHAnsi"/>
          <w:szCs w:val="24"/>
        </w:rPr>
        <w:t>.</w:t>
      </w:r>
    </w:p>
    <w:p w:rsidR="00156130" w:rsidRPr="00073F7F" w:rsidRDefault="00156130" w:rsidP="00156130">
      <w:pPr>
        <w:spacing w:after="200" w:line="276" w:lineRule="auto"/>
        <w:rPr>
          <w:rFonts w:asciiTheme="minorHAnsi" w:hAnsiTheme="minorHAnsi" w:cstheme="minorHAnsi"/>
          <w:szCs w:val="24"/>
          <w:u w:val="single"/>
        </w:rPr>
      </w:pPr>
    </w:p>
    <w:p w:rsidR="00156130" w:rsidRPr="00073F7F" w:rsidRDefault="00156130" w:rsidP="00156130">
      <w:pPr>
        <w:spacing w:after="200" w:line="276" w:lineRule="auto"/>
        <w:rPr>
          <w:rFonts w:asciiTheme="minorHAnsi" w:hAnsiTheme="minorHAnsi" w:cstheme="minorHAnsi"/>
          <w:szCs w:val="24"/>
          <w:u w:val="single"/>
        </w:rPr>
      </w:pPr>
      <w:r w:rsidRPr="00073F7F">
        <w:rPr>
          <w:rFonts w:asciiTheme="minorHAnsi" w:hAnsiTheme="minorHAnsi" w:cstheme="minorHAnsi"/>
          <w:szCs w:val="24"/>
          <w:u w:val="single"/>
        </w:rPr>
        <w:t>Disruptive Behavior Policy Statement</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lastRenderedPageBreak/>
        <w:t xml:space="preserve">Disruptive behavior is defined in the FAU Student Code of Conduct as </w:t>
      </w:r>
      <w:r w:rsidRPr="00073F7F">
        <w:rPr>
          <w:rFonts w:asciiTheme="minorHAnsi" w:hAnsiTheme="minorHAnsi" w:cstheme="minorHAnsi"/>
          <w:i/>
          <w:iCs/>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b/>
          <w:bCs/>
          <w:szCs w:val="24"/>
        </w:rPr>
        <w:t>Faculty Rights and Responsibilities</w:t>
      </w:r>
      <w:r w:rsidRPr="00073F7F">
        <w:rPr>
          <w:rFonts w:asciiTheme="minorHAnsi" w:hAnsiTheme="minorHAnsi" w:cstheme="minorHAnsi"/>
          <w:szCs w:val="24"/>
        </w:rPr>
        <w:t xml:space="preserve"> </w:t>
      </w:r>
      <w:r w:rsidRPr="00073F7F">
        <w:rPr>
          <w:rFonts w:asciiTheme="minorHAnsi" w:hAnsiTheme="minorHAnsi" w:cstheme="minorHAnsi"/>
          <w:szCs w:val="24"/>
        </w:rPr>
        <w:br/>
      </w:r>
      <w:r w:rsidRPr="00073F7F">
        <w:rPr>
          <w:rFonts w:asciiTheme="minorHAnsi" w:hAnsiTheme="minorHAnsi" w:cstheme="minorHAnsi"/>
          <w:szCs w:val="24"/>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implement academic standards</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enforce reasonable behavior standards in each class</w:t>
      </w:r>
    </w:p>
    <w:p w:rsid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refer disciplinary action to those students whose behavior may be judged to be disruptive under the Student Code of Conduct.</w:t>
      </w:r>
    </w:p>
    <w:p w:rsidR="00C373DD" w:rsidRDefault="00C373DD" w:rsidP="00C373DD">
      <w:pPr>
        <w:spacing w:before="100" w:beforeAutospacing="1" w:after="100" w:afterAutospacing="1"/>
        <w:rPr>
          <w:rFonts w:asciiTheme="minorHAnsi" w:hAnsiTheme="minorHAnsi" w:cstheme="minorHAnsi"/>
          <w:szCs w:val="24"/>
        </w:rPr>
      </w:pPr>
    </w:p>
    <w:p w:rsidR="00C373DD" w:rsidRPr="00C373DD" w:rsidRDefault="00C373DD" w:rsidP="00C373DD">
      <w:pPr>
        <w:spacing w:before="100" w:beforeAutospacing="1" w:after="100" w:afterAutospacing="1"/>
        <w:rPr>
          <w:rFonts w:asciiTheme="minorHAnsi" w:hAnsiTheme="minorHAnsi" w:cstheme="minorHAnsi"/>
          <w:b/>
          <w:szCs w:val="24"/>
        </w:rPr>
      </w:pPr>
      <w:r>
        <w:rPr>
          <w:rFonts w:asciiTheme="minorHAnsi" w:hAnsiTheme="minorHAnsi" w:cstheme="minorHAnsi"/>
          <w:b/>
          <w:szCs w:val="24"/>
        </w:rPr>
        <w:t>Student Effort</w:t>
      </w:r>
      <w:bookmarkStart w:id="0" w:name="_GoBack"/>
      <w:bookmarkEnd w:id="0"/>
    </w:p>
    <w:p w:rsidR="00CA3DDF" w:rsidRDefault="00C373DD" w:rsidP="00CA3DDF">
      <w:pPr>
        <w:jc w:val="center"/>
        <w:rPr>
          <w:rFonts w:asciiTheme="minorHAnsi" w:hAnsiTheme="minorHAnsi" w:cstheme="minorHAnsi"/>
          <w:szCs w:val="24"/>
        </w:rPr>
      </w:pPr>
      <w:r w:rsidRPr="00C373DD">
        <w:rPr>
          <w:rFonts w:asciiTheme="minorHAnsi" w:hAnsiTheme="minorHAnsi" w:cstheme="minorHAnsi"/>
          <w:szCs w:val="24"/>
        </w:rPr>
        <w:t>According to Florida State Statute 6A-10.033, students must spend a minimum of 37.5 hours of in class time during a 3-credit course. Additionally, students enrolled in a 3-credit course are expected to spend a minimum of 75 hours of  out-of-class-time specifically working on course-related activities (i.e., reading assigned pieces, completing homework, preparing for exams and other assessments, reviewing class notes, etc.) and fulfilling any other class activities or duties as required.</w:t>
      </w:r>
      <w:r w:rsidR="00CA3DDF">
        <w:rPr>
          <w:rFonts w:asciiTheme="minorHAnsi" w:hAnsiTheme="minorHAnsi" w:cstheme="minorHAnsi"/>
          <w:szCs w:val="24"/>
        </w:rPr>
        <w:br/>
      </w:r>
    </w:p>
    <w:p w:rsidR="00454944" w:rsidRDefault="00454944" w:rsidP="00CA3DDF">
      <w:pPr>
        <w:jc w:val="center"/>
        <w:rPr>
          <w:b/>
          <w:sz w:val="28"/>
          <w:szCs w:val="28"/>
        </w:rPr>
      </w:pPr>
    </w:p>
    <w:p w:rsidR="00CA3DDF" w:rsidRDefault="00CA3DDF" w:rsidP="00CA3DDF">
      <w:pPr>
        <w:jc w:val="center"/>
        <w:rPr>
          <w:b/>
          <w:sz w:val="28"/>
          <w:szCs w:val="28"/>
        </w:rPr>
      </w:pPr>
      <w:r>
        <w:rPr>
          <w:b/>
          <w:sz w:val="28"/>
          <w:szCs w:val="28"/>
        </w:rPr>
        <w:t>Reading List</w:t>
      </w:r>
    </w:p>
    <w:p w:rsidR="00CA3DDF" w:rsidRDefault="00CA3DDF" w:rsidP="00CA3DDF">
      <w:pPr>
        <w:jc w:val="center"/>
        <w:rPr>
          <w:rFonts w:asciiTheme="minorHAnsi" w:hAnsiTheme="minorHAnsi" w:cstheme="minorBidi"/>
          <w:b/>
          <w:szCs w:val="24"/>
        </w:rPr>
      </w:pPr>
    </w:p>
    <w:p w:rsidR="00CA3DDF" w:rsidRDefault="00CA3DDF" w:rsidP="00CA3DDF">
      <w:pPr>
        <w:jc w:val="both"/>
        <w:rPr>
          <w:b/>
          <w:szCs w:val="24"/>
          <w:u w:val="single"/>
        </w:rPr>
      </w:pPr>
      <w:r>
        <w:rPr>
          <w:b/>
          <w:szCs w:val="24"/>
          <w:u w:val="single"/>
        </w:rPr>
        <w:t>Derivatives Textbooks</w:t>
      </w:r>
    </w:p>
    <w:p w:rsidR="00CA3DDF" w:rsidRDefault="00CA3DDF" w:rsidP="00CA3DDF">
      <w:pPr>
        <w:jc w:val="both"/>
        <w:rPr>
          <w:szCs w:val="24"/>
        </w:rPr>
      </w:pPr>
      <w:r>
        <w:rPr>
          <w:szCs w:val="24"/>
        </w:rPr>
        <w:t>Cox, John C. and Mark Rubinstein, 1985, “</w:t>
      </w:r>
      <w:r>
        <w:rPr>
          <w:bCs/>
          <w:i/>
          <w:szCs w:val="24"/>
        </w:rPr>
        <w:t>Options Markets</w:t>
      </w:r>
      <w:r>
        <w:rPr>
          <w:bCs/>
          <w:szCs w:val="24"/>
        </w:rPr>
        <w:t>”</w:t>
      </w:r>
      <w:r>
        <w:rPr>
          <w:szCs w:val="24"/>
        </w:rPr>
        <w:t xml:space="preserve">, Englewood Cliffs: Prentice-Hall </w:t>
      </w:r>
    </w:p>
    <w:p w:rsidR="00CA3DDF" w:rsidRDefault="00CA3DDF" w:rsidP="00CA3DDF">
      <w:pPr>
        <w:jc w:val="both"/>
        <w:rPr>
          <w:b/>
          <w:szCs w:val="24"/>
          <w:u w:val="single"/>
        </w:rPr>
      </w:pPr>
      <w:proofErr w:type="spellStart"/>
      <w:r>
        <w:rPr>
          <w:szCs w:val="24"/>
        </w:rPr>
        <w:t>Duffie</w:t>
      </w:r>
      <w:proofErr w:type="spellEnd"/>
      <w:r>
        <w:rPr>
          <w:szCs w:val="24"/>
        </w:rPr>
        <w:t>, Darrell, 1989, “</w:t>
      </w:r>
      <w:r>
        <w:rPr>
          <w:bCs/>
          <w:i/>
          <w:szCs w:val="24"/>
        </w:rPr>
        <w:t>Futures Markets</w:t>
      </w:r>
      <w:r>
        <w:rPr>
          <w:szCs w:val="24"/>
        </w:rPr>
        <w:t xml:space="preserve">”, Englewood Cliffs, Prentice-Hall </w:t>
      </w:r>
    </w:p>
    <w:p w:rsidR="00CA3DDF" w:rsidRDefault="00CA3DDF" w:rsidP="00CA3DDF">
      <w:pPr>
        <w:jc w:val="both"/>
        <w:rPr>
          <w:szCs w:val="24"/>
        </w:rPr>
      </w:pPr>
      <w:r>
        <w:rPr>
          <w:szCs w:val="24"/>
        </w:rPr>
        <w:t>Hull, John C., 2011, “</w:t>
      </w:r>
      <w:r>
        <w:rPr>
          <w:i/>
          <w:szCs w:val="24"/>
        </w:rPr>
        <w:t>Options, Futures and Other Derivatives</w:t>
      </w:r>
      <w:r>
        <w:rPr>
          <w:szCs w:val="24"/>
        </w:rPr>
        <w:t>”, Prentice Hall</w:t>
      </w:r>
    </w:p>
    <w:p w:rsidR="00CA3DDF" w:rsidRDefault="00CA3DDF" w:rsidP="00CA3DDF">
      <w:pPr>
        <w:jc w:val="both"/>
        <w:rPr>
          <w:szCs w:val="24"/>
        </w:rPr>
      </w:pPr>
      <w:proofErr w:type="spellStart"/>
      <w:r>
        <w:rPr>
          <w:szCs w:val="24"/>
        </w:rPr>
        <w:t>Jarrow</w:t>
      </w:r>
      <w:proofErr w:type="spellEnd"/>
      <w:r>
        <w:rPr>
          <w:szCs w:val="24"/>
        </w:rPr>
        <w:t>, Robert, A. and Stuart, M., Turnbull, 2000, “</w:t>
      </w:r>
      <w:r>
        <w:rPr>
          <w:i/>
          <w:szCs w:val="24"/>
        </w:rPr>
        <w:t>Derivative Securities</w:t>
      </w:r>
      <w:r>
        <w:rPr>
          <w:szCs w:val="24"/>
        </w:rPr>
        <w:t>”, South-Western College Publishing</w:t>
      </w:r>
    </w:p>
    <w:p w:rsidR="00CA3DDF" w:rsidRDefault="00CA3DDF" w:rsidP="00CA3DDF">
      <w:pPr>
        <w:jc w:val="both"/>
        <w:rPr>
          <w:szCs w:val="24"/>
        </w:rPr>
      </w:pPr>
      <w:r>
        <w:rPr>
          <w:szCs w:val="24"/>
        </w:rPr>
        <w:lastRenderedPageBreak/>
        <w:t>McDonald, Robert, L. 2013,”</w:t>
      </w:r>
      <w:r>
        <w:rPr>
          <w:i/>
          <w:szCs w:val="24"/>
        </w:rPr>
        <w:t>Derivatives Markets</w:t>
      </w:r>
      <w:r>
        <w:rPr>
          <w:szCs w:val="24"/>
        </w:rPr>
        <w:t>”, Pearson</w:t>
      </w:r>
    </w:p>
    <w:p w:rsidR="00CA3DDF" w:rsidRDefault="00CA3DDF" w:rsidP="00CA3DDF">
      <w:pPr>
        <w:jc w:val="both"/>
        <w:rPr>
          <w:b/>
          <w:szCs w:val="24"/>
          <w:u w:val="single"/>
        </w:rPr>
      </w:pPr>
      <w:r>
        <w:rPr>
          <w:b/>
          <w:szCs w:val="24"/>
          <w:u w:val="single"/>
        </w:rPr>
        <w:t>Probability and Statistics Textbooks</w:t>
      </w:r>
    </w:p>
    <w:p w:rsidR="00CA3DDF" w:rsidRDefault="00CA3DDF" w:rsidP="00CA3DDF">
      <w:pPr>
        <w:jc w:val="both"/>
        <w:rPr>
          <w:szCs w:val="24"/>
        </w:rPr>
      </w:pPr>
      <w:proofErr w:type="spellStart"/>
      <w:r>
        <w:rPr>
          <w:szCs w:val="24"/>
        </w:rPr>
        <w:t>DeGroot</w:t>
      </w:r>
      <w:proofErr w:type="spellEnd"/>
      <w:r>
        <w:rPr>
          <w:szCs w:val="24"/>
        </w:rPr>
        <w:t>, Morris, 1989,”</w:t>
      </w:r>
      <w:r>
        <w:rPr>
          <w:i/>
          <w:szCs w:val="24"/>
        </w:rPr>
        <w:t>Probability and Statistics</w:t>
      </w:r>
      <w:r>
        <w:rPr>
          <w:szCs w:val="24"/>
        </w:rPr>
        <w:t>”, Addison Wesley</w:t>
      </w:r>
    </w:p>
    <w:p w:rsidR="00CA3DDF" w:rsidRDefault="00CA3DDF" w:rsidP="00CA3DDF">
      <w:pPr>
        <w:jc w:val="both"/>
        <w:rPr>
          <w:szCs w:val="24"/>
        </w:rPr>
      </w:pPr>
      <w:proofErr w:type="spellStart"/>
      <w:r>
        <w:rPr>
          <w:szCs w:val="24"/>
        </w:rPr>
        <w:t>Durrett</w:t>
      </w:r>
      <w:proofErr w:type="spellEnd"/>
      <w:r>
        <w:rPr>
          <w:szCs w:val="24"/>
        </w:rPr>
        <w:t>, Rick, 1993, “</w:t>
      </w:r>
      <w:r>
        <w:rPr>
          <w:i/>
          <w:szCs w:val="24"/>
        </w:rPr>
        <w:t>The Essentials of Probability</w:t>
      </w:r>
      <w:r>
        <w:rPr>
          <w:szCs w:val="24"/>
        </w:rPr>
        <w:t>”, Duxbury Press</w:t>
      </w:r>
    </w:p>
    <w:p w:rsidR="00CA3DDF" w:rsidRDefault="00CA3DDF" w:rsidP="00CA3DDF">
      <w:pPr>
        <w:jc w:val="both"/>
        <w:rPr>
          <w:szCs w:val="24"/>
        </w:rPr>
      </w:pPr>
      <w:r>
        <w:rPr>
          <w:szCs w:val="24"/>
        </w:rPr>
        <w:t>Ross, Sheldon, 1993, “</w:t>
      </w:r>
      <w:r>
        <w:rPr>
          <w:i/>
          <w:szCs w:val="24"/>
        </w:rPr>
        <w:t>Introduction to Probability Models</w:t>
      </w:r>
      <w:r>
        <w:rPr>
          <w:szCs w:val="24"/>
        </w:rPr>
        <w:t>”, Academic Press</w:t>
      </w:r>
    </w:p>
    <w:p w:rsidR="00CA3DDF" w:rsidRDefault="00CA3DDF" w:rsidP="00CA3DDF">
      <w:pPr>
        <w:jc w:val="both"/>
        <w:rPr>
          <w:b/>
          <w:szCs w:val="24"/>
          <w:u w:val="single"/>
        </w:rPr>
      </w:pPr>
      <w:r>
        <w:rPr>
          <w:b/>
          <w:szCs w:val="24"/>
          <w:u w:val="single"/>
        </w:rPr>
        <w:t>Journals</w:t>
      </w:r>
    </w:p>
    <w:p w:rsidR="00CA3DDF" w:rsidRDefault="00CA3DDF" w:rsidP="00CA3DDF">
      <w:pPr>
        <w:jc w:val="both"/>
        <w:rPr>
          <w:szCs w:val="24"/>
        </w:rPr>
      </w:pPr>
      <w:r>
        <w:rPr>
          <w:szCs w:val="24"/>
        </w:rPr>
        <w:t>The Journal of Alternative Investments, Institutional Investor Journals (academic/practitioner)</w:t>
      </w:r>
    </w:p>
    <w:p w:rsidR="00CA3DDF" w:rsidRDefault="00CA3DDF" w:rsidP="00CA3DDF">
      <w:pPr>
        <w:jc w:val="both"/>
        <w:rPr>
          <w:szCs w:val="24"/>
        </w:rPr>
      </w:pPr>
      <w:r>
        <w:rPr>
          <w:szCs w:val="24"/>
        </w:rPr>
        <w:t>The Journal of Derivatives, Institutional Investor Journals (academic/practitioner)</w:t>
      </w:r>
    </w:p>
    <w:p w:rsidR="00CA3DDF" w:rsidRDefault="00CA3DDF" w:rsidP="00CA3DDF">
      <w:pPr>
        <w:jc w:val="both"/>
        <w:rPr>
          <w:szCs w:val="24"/>
        </w:rPr>
      </w:pPr>
      <w:r>
        <w:rPr>
          <w:szCs w:val="24"/>
        </w:rPr>
        <w:t>The Journal of Futures Markets, Wiley (academic)</w:t>
      </w:r>
    </w:p>
    <w:p w:rsidR="00CA3DDF" w:rsidRDefault="00CA3DDF" w:rsidP="00CA3DDF">
      <w:pPr>
        <w:jc w:val="both"/>
        <w:rPr>
          <w:szCs w:val="24"/>
        </w:rPr>
      </w:pPr>
      <w:r>
        <w:rPr>
          <w:szCs w:val="24"/>
        </w:rPr>
        <w:t xml:space="preserve">Review of Derivatives Research, Springer (academic) </w:t>
      </w:r>
    </w:p>
    <w:p w:rsidR="00CA3DDF" w:rsidRDefault="00CA3DDF" w:rsidP="00CA3DDF">
      <w:pPr>
        <w:jc w:val="both"/>
        <w:rPr>
          <w:szCs w:val="24"/>
        </w:rPr>
      </w:pPr>
      <w:r>
        <w:rPr>
          <w:szCs w:val="24"/>
        </w:rPr>
        <w:t>Risk (practitioner)</w:t>
      </w:r>
    </w:p>
    <w:p w:rsidR="00CA3DDF" w:rsidRDefault="00CA3DDF" w:rsidP="00CA3DDF">
      <w:pPr>
        <w:jc w:val="both"/>
        <w:rPr>
          <w:b/>
          <w:szCs w:val="24"/>
          <w:u w:val="single"/>
        </w:rPr>
      </w:pPr>
      <w:r>
        <w:rPr>
          <w:b/>
          <w:szCs w:val="24"/>
          <w:u w:val="single"/>
        </w:rPr>
        <w:t>Light Reading</w:t>
      </w:r>
    </w:p>
    <w:p w:rsidR="00CA3DDF" w:rsidRDefault="00CA3DDF" w:rsidP="00CA3DDF">
      <w:pPr>
        <w:jc w:val="both"/>
        <w:rPr>
          <w:szCs w:val="24"/>
        </w:rPr>
      </w:pPr>
      <w:r>
        <w:rPr>
          <w:szCs w:val="24"/>
        </w:rPr>
        <w:t>Fay, Stephen, 1996, “</w:t>
      </w:r>
      <w:r>
        <w:rPr>
          <w:bCs/>
          <w:i/>
          <w:szCs w:val="24"/>
        </w:rPr>
        <w:t>The Collapse of Barings</w:t>
      </w:r>
      <w:r>
        <w:rPr>
          <w:szCs w:val="24"/>
        </w:rPr>
        <w:t xml:space="preserve">”, New York:  W. W. Norton </w:t>
      </w:r>
    </w:p>
    <w:p w:rsidR="00CA3DDF" w:rsidRDefault="00CA3DDF" w:rsidP="00CA3DDF">
      <w:pPr>
        <w:jc w:val="both"/>
        <w:rPr>
          <w:szCs w:val="24"/>
          <w:u w:val="single"/>
        </w:rPr>
      </w:pPr>
      <w:proofErr w:type="spellStart"/>
      <w:r>
        <w:rPr>
          <w:szCs w:val="24"/>
        </w:rPr>
        <w:t>Leeson</w:t>
      </w:r>
      <w:proofErr w:type="spellEnd"/>
      <w:r>
        <w:rPr>
          <w:szCs w:val="24"/>
        </w:rPr>
        <w:t>, Nick, 1996, “</w:t>
      </w:r>
      <w:r>
        <w:rPr>
          <w:bCs/>
          <w:i/>
          <w:szCs w:val="24"/>
        </w:rPr>
        <w:t>Rogue Trader:  How I Brought Down Barings Bank and Shook the Financial World</w:t>
      </w:r>
      <w:r>
        <w:rPr>
          <w:szCs w:val="24"/>
        </w:rPr>
        <w:t xml:space="preserve">”, Boston: Little, Brown </w:t>
      </w:r>
    </w:p>
    <w:p w:rsidR="00CA3DDF" w:rsidRDefault="00CA3DDF" w:rsidP="00CA3DDF">
      <w:pPr>
        <w:tabs>
          <w:tab w:val="left" w:pos="2630"/>
        </w:tabs>
        <w:jc w:val="both"/>
        <w:rPr>
          <w:szCs w:val="24"/>
        </w:rPr>
      </w:pPr>
      <w:r>
        <w:rPr>
          <w:szCs w:val="24"/>
        </w:rPr>
        <w:t>Lowenstein, Roger, 2000, “</w:t>
      </w:r>
      <w:r>
        <w:rPr>
          <w:bCs/>
          <w:i/>
          <w:szCs w:val="24"/>
        </w:rPr>
        <w:t xml:space="preserve">When Genius Failed: The Rise and </w:t>
      </w:r>
      <w:proofErr w:type="gramStart"/>
      <w:r>
        <w:rPr>
          <w:bCs/>
          <w:i/>
          <w:szCs w:val="24"/>
        </w:rPr>
        <w:t>Fall</w:t>
      </w:r>
      <w:proofErr w:type="gramEnd"/>
      <w:r>
        <w:rPr>
          <w:bCs/>
          <w:i/>
          <w:szCs w:val="24"/>
        </w:rPr>
        <w:t xml:space="preserve"> of Long-Term Capital Management</w:t>
      </w:r>
      <w:r>
        <w:rPr>
          <w:bCs/>
          <w:szCs w:val="24"/>
        </w:rPr>
        <w:t>,</w:t>
      </w:r>
      <w:r>
        <w:rPr>
          <w:b/>
          <w:bCs/>
          <w:szCs w:val="24"/>
        </w:rPr>
        <w:t xml:space="preserve"> </w:t>
      </w:r>
      <w:r>
        <w:rPr>
          <w:szCs w:val="24"/>
        </w:rPr>
        <w:t xml:space="preserve">New York: Random House </w:t>
      </w:r>
    </w:p>
    <w:p w:rsidR="00CA3DDF" w:rsidRDefault="00CA3DDF" w:rsidP="00CA3DDF">
      <w:pPr>
        <w:tabs>
          <w:tab w:val="left" w:pos="2630"/>
        </w:tabs>
        <w:jc w:val="both"/>
        <w:rPr>
          <w:szCs w:val="24"/>
        </w:rPr>
      </w:pPr>
      <w:proofErr w:type="spellStart"/>
      <w:r>
        <w:rPr>
          <w:szCs w:val="24"/>
        </w:rPr>
        <w:t>Roubini</w:t>
      </w:r>
      <w:proofErr w:type="spellEnd"/>
      <w:r>
        <w:rPr>
          <w:szCs w:val="24"/>
        </w:rPr>
        <w:t xml:space="preserve">, </w:t>
      </w:r>
      <w:proofErr w:type="spellStart"/>
      <w:r>
        <w:rPr>
          <w:szCs w:val="24"/>
        </w:rPr>
        <w:t>Nouriel</w:t>
      </w:r>
      <w:proofErr w:type="spellEnd"/>
      <w:r>
        <w:rPr>
          <w:szCs w:val="24"/>
        </w:rPr>
        <w:t xml:space="preserve"> and Steven </w:t>
      </w:r>
      <w:proofErr w:type="spellStart"/>
      <w:r>
        <w:rPr>
          <w:szCs w:val="24"/>
        </w:rPr>
        <w:t>Mihm</w:t>
      </w:r>
      <w:proofErr w:type="spellEnd"/>
      <w:r>
        <w:rPr>
          <w:szCs w:val="24"/>
        </w:rPr>
        <w:t>, 2010, “</w:t>
      </w:r>
      <w:r>
        <w:rPr>
          <w:i/>
          <w:szCs w:val="24"/>
        </w:rPr>
        <w:t>Crisis Economics: A Crash Course in the Future of Finance</w:t>
      </w:r>
      <w:r>
        <w:rPr>
          <w:szCs w:val="24"/>
        </w:rPr>
        <w:t>”, Penguin Press HC</w:t>
      </w:r>
      <w:r>
        <w:rPr>
          <w:szCs w:val="24"/>
        </w:rPr>
        <w:tab/>
      </w:r>
    </w:p>
    <w:p w:rsidR="00CA3DDF" w:rsidRDefault="00CA3DDF" w:rsidP="00CA3DDF">
      <w:pPr>
        <w:jc w:val="both"/>
        <w:rPr>
          <w:szCs w:val="24"/>
        </w:rPr>
      </w:pPr>
      <w:proofErr w:type="spellStart"/>
      <w:r>
        <w:rPr>
          <w:szCs w:val="24"/>
        </w:rPr>
        <w:t>Taleb</w:t>
      </w:r>
      <w:proofErr w:type="spellEnd"/>
      <w:r>
        <w:rPr>
          <w:szCs w:val="24"/>
        </w:rPr>
        <w:t xml:space="preserve">, </w:t>
      </w:r>
      <w:proofErr w:type="spellStart"/>
      <w:r>
        <w:rPr>
          <w:szCs w:val="24"/>
        </w:rPr>
        <w:t>Nassim</w:t>
      </w:r>
      <w:proofErr w:type="spellEnd"/>
      <w:r>
        <w:rPr>
          <w:szCs w:val="24"/>
        </w:rPr>
        <w:t xml:space="preserve"> Nicholas, 2007, “</w:t>
      </w:r>
      <w:r>
        <w:rPr>
          <w:bCs/>
          <w:i/>
          <w:szCs w:val="24"/>
        </w:rPr>
        <w:t>The Black Swan:  The Impact of the Highly Improbable</w:t>
      </w:r>
      <w:r>
        <w:rPr>
          <w:szCs w:val="24"/>
        </w:rPr>
        <w:t xml:space="preserve">”, New York:  Random House </w:t>
      </w:r>
    </w:p>
    <w:p w:rsidR="00CA3DDF" w:rsidRDefault="00CA3DDF" w:rsidP="00CA3DDF">
      <w:pPr>
        <w:jc w:val="both"/>
        <w:rPr>
          <w:b/>
          <w:szCs w:val="24"/>
          <w:u w:val="single"/>
        </w:rPr>
      </w:pPr>
      <w:r>
        <w:rPr>
          <w:b/>
          <w:szCs w:val="24"/>
          <w:u w:val="single"/>
        </w:rPr>
        <w:t>Selected Academic Articles</w:t>
      </w:r>
    </w:p>
    <w:p w:rsidR="00CA3DDF" w:rsidRDefault="00CA3DDF" w:rsidP="00CA3DDF">
      <w:pPr>
        <w:jc w:val="both"/>
        <w:rPr>
          <w:bCs/>
          <w:szCs w:val="24"/>
        </w:rPr>
      </w:pPr>
      <w:r>
        <w:rPr>
          <w:szCs w:val="24"/>
        </w:rPr>
        <w:t xml:space="preserve">Benet, B., A. Giannetti and S. </w:t>
      </w:r>
      <w:proofErr w:type="spellStart"/>
      <w:r>
        <w:rPr>
          <w:szCs w:val="24"/>
        </w:rPr>
        <w:t>Pissaris</w:t>
      </w:r>
      <w:proofErr w:type="spellEnd"/>
      <w:r>
        <w:rPr>
          <w:szCs w:val="24"/>
        </w:rPr>
        <w:t>, 2006, “</w:t>
      </w:r>
      <w:r>
        <w:rPr>
          <w:bCs/>
          <w:i/>
          <w:szCs w:val="24"/>
        </w:rPr>
        <w:t>Gains from structured product markets: The case of reverse-exchangeable securities (RES)</w:t>
      </w:r>
      <w:r>
        <w:rPr>
          <w:bCs/>
          <w:szCs w:val="24"/>
        </w:rPr>
        <w:t>”, Journal of Banking and Finance, 111-132</w:t>
      </w:r>
    </w:p>
    <w:p w:rsidR="00CA3DDF" w:rsidRDefault="00CA3DDF" w:rsidP="00CA3DDF">
      <w:pPr>
        <w:jc w:val="both"/>
        <w:rPr>
          <w:bCs/>
          <w:szCs w:val="24"/>
        </w:rPr>
      </w:pPr>
      <w:r>
        <w:rPr>
          <w:bCs/>
          <w:szCs w:val="24"/>
        </w:rPr>
        <w:t xml:space="preserve">Black, F. and M., </w:t>
      </w:r>
      <w:proofErr w:type="spellStart"/>
      <w:r>
        <w:rPr>
          <w:bCs/>
          <w:szCs w:val="24"/>
        </w:rPr>
        <w:t>Scholes</w:t>
      </w:r>
      <w:proofErr w:type="spellEnd"/>
      <w:r>
        <w:rPr>
          <w:bCs/>
          <w:szCs w:val="24"/>
        </w:rPr>
        <w:t>, 1973,”</w:t>
      </w:r>
      <w:r>
        <w:rPr>
          <w:bCs/>
          <w:i/>
          <w:szCs w:val="24"/>
        </w:rPr>
        <w:t>The Pricing of Options and Corporate Liabilities”, Journal of Political Economy</w:t>
      </w:r>
      <w:r>
        <w:rPr>
          <w:bCs/>
          <w:szCs w:val="24"/>
        </w:rPr>
        <w:t>”, 637-654</w:t>
      </w:r>
    </w:p>
    <w:p w:rsidR="00CA3DDF" w:rsidRDefault="00CA3DDF" w:rsidP="00CA3DDF">
      <w:pPr>
        <w:jc w:val="both"/>
        <w:rPr>
          <w:bCs/>
          <w:szCs w:val="24"/>
        </w:rPr>
      </w:pPr>
      <w:r>
        <w:rPr>
          <w:bCs/>
          <w:szCs w:val="24"/>
        </w:rPr>
        <w:t>Chance, D., 2003, “</w:t>
      </w:r>
      <w:r>
        <w:rPr>
          <w:bCs/>
          <w:i/>
          <w:szCs w:val="24"/>
        </w:rPr>
        <w:t>Equity Swaps and Equity Investing</w:t>
      </w:r>
      <w:r>
        <w:rPr>
          <w:bCs/>
          <w:szCs w:val="24"/>
        </w:rPr>
        <w:t>”, Louisiana State University, Working Paper</w:t>
      </w:r>
    </w:p>
    <w:p w:rsidR="00CA3DDF" w:rsidRDefault="00CA3DDF" w:rsidP="00CA3DDF">
      <w:pPr>
        <w:jc w:val="both"/>
        <w:rPr>
          <w:bCs/>
          <w:szCs w:val="24"/>
        </w:rPr>
      </w:pPr>
      <w:r>
        <w:rPr>
          <w:bCs/>
          <w:szCs w:val="24"/>
        </w:rPr>
        <w:t>Chance, D. and D. Rich, 1995, “</w:t>
      </w:r>
      <w:r>
        <w:rPr>
          <w:bCs/>
          <w:i/>
          <w:szCs w:val="24"/>
        </w:rPr>
        <w:t xml:space="preserve">The Pricing of Equity Swaps and </w:t>
      </w:r>
      <w:proofErr w:type="spellStart"/>
      <w:r>
        <w:rPr>
          <w:bCs/>
          <w:i/>
          <w:szCs w:val="24"/>
        </w:rPr>
        <w:t>Swaptions</w:t>
      </w:r>
      <w:proofErr w:type="spellEnd"/>
      <w:r>
        <w:rPr>
          <w:bCs/>
          <w:szCs w:val="24"/>
        </w:rPr>
        <w:t>”, Journal of Derivatives, 5, 19-31</w:t>
      </w:r>
    </w:p>
    <w:p w:rsidR="00CA3DDF" w:rsidRDefault="00CA3DDF" w:rsidP="00CA3DDF">
      <w:pPr>
        <w:jc w:val="both"/>
        <w:rPr>
          <w:bCs/>
          <w:szCs w:val="24"/>
        </w:rPr>
      </w:pPr>
      <w:r>
        <w:rPr>
          <w:bCs/>
          <w:szCs w:val="24"/>
        </w:rPr>
        <w:t>Cox, J. and M. Rubinstein, 1979, “</w:t>
      </w:r>
      <w:r>
        <w:rPr>
          <w:bCs/>
          <w:i/>
          <w:szCs w:val="24"/>
        </w:rPr>
        <w:t xml:space="preserve">Option Pricing: A Simplified Approach”, </w:t>
      </w:r>
      <w:r>
        <w:rPr>
          <w:bCs/>
          <w:szCs w:val="24"/>
        </w:rPr>
        <w:t>Journal of Financial Economics, 7, 229-265</w:t>
      </w:r>
    </w:p>
    <w:p w:rsidR="00CA3DDF" w:rsidRDefault="00CA3DDF" w:rsidP="00CA3DDF">
      <w:pPr>
        <w:jc w:val="both"/>
        <w:rPr>
          <w:szCs w:val="24"/>
        </w:rPr>
      </w:pPr>
      <w:r>
        <w:rPr>
          <w:bCs/>
          <w:szCs w:val="24"/>
        </w:rPr>
        <w:t xml:space="preserve">Heath, D., A. </w:t>
      </w:r>
      <w:proofErr w:type="spellStart"/>
      <w:r>
        <w:rPr>
          <w:bCs/>
          <w:szCs w:val="24"/>
        </w:rPr>
        <w:t>Jarrow</w:t>
      </w:r>
      <w:proofErr w:type="spellEnd"/>
      <w:r>
        <w:rPr>
          <w:bCs/>
          <w:szCs w:val="24"/>
        </w:rPr>
        <w:t xml:space="preserve"> and A. Morton, 1990, “</w:t>
      </w:r>
      <w:r>
        <w:rPr>
          <w:bCs/>
          <w:i/>
          <w:szCs w:val="24"/>
        </w:rPr>
        <w:t>Contingent Claim Valuation with a Random Evolution of Interest Rates</w:t>
      </w:r>
      <w:r>
        <w:rPr>
          <w:bCs/>
          <w:szCs w:val="24"/>
        </w:rPr>
        <w:t>”, Review of Futures Markets, 9, 54-82</w:t>
      </w:r>
    </w:p>
    <w:p w:rsidR="00CA3DDF" w:rsidRDefault="00CA3DDF" w:rsidP="00CA3DDF">
      <w:pPr>
        <w:jc w:val="both"/>
        <w:rPr>
          <w:szCs w:val="24"/>
        </w:rPr>
      </w:pPr>
    </w:p>
    <w:p w:rsidR="00CA3DDF" w:rsidRDefault="00CA3DDF" w:rsidP="00CA3DDF">
      <w:pPr>
        <w:jc w:val="both"/>
        <w:rPr>
          <w:b/>
          <w:szCs w:val="24"/>
          <w:u w:val="single"/>
        </w:rPr>
      </w:pPr>
    </w:p>
    <w:p w:rsidR="00C373DD" w:rsidRPr="00073F7F" w:rsidRDefault="00C373DD" w:rsidP="00C373DD">
      <w:pPr>
        <w:spacing w:before="100" w:beforeAutospacing="1" w:after="100" w:afterAutospacing="1"/>
        <w:rPr>
          <w:rFonts w:asciiTheme="minorHAnsi" w:hAnsiTheme="minorHAnsi" w:cstheme="minorHAnsi"/>
          <w:szCs w:val="24"/>
        </w:rPr>
      </w:pPr>
    </w:p>
    <w:p w:rsidR="00156130" w:rsidRPr="00073F7F" w:rsidRDefault="00156130" w:rsidP="00156130">
      <w:pPr>
        <w:tabs>
          <w:tab w:val="left" w:pos="0"/>
        </w:tabs>
        <w:suppressAutoHyphens/>
        <w:jc w:val="center"/>
        <w:rPr>
          <w:rFonts w:asciiTheme="minorHAnsi" w:hAnsiTheme="minorHAnsi" w:cstheme="minorHAnsi"/>
          <w:b/>
          <w:szCs w:val="24"/>
        </w:rPr>
      </w:pPr>
    </w:p>
    <w:p w:rsidR="00156130" w:rsidRPr="00073F7F" w:rsidRDefault="00156130" w:rsidP="00097658">
      <w:pPr>
        <w:spacing w:after="200" w:line="276" w:lineRule="auto"/>
        <w:rPr>
          <w:rFonts w:asciiTheme="minorHAnsi" w:hAnsiTheme="minorHAnsi" w:cstheme="minorHAnsi"/>
          <w:szCs w:val="24"/>
        </w:rPr>
      </w:pPr>
    </w:p>
    <w:sectPr w:rsidR="00156130" w:rsidRPr="00073F7F" w:rsidSect="0063477D">
      <w:headerReference w:type="default" r:id="rId14"/>
      <w:pgSz w:w="12240" w:h="15840"/>
      <w:pgMar w:top="270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FE3" w:rsidRDefault="00AB3FE3" w:rsidP="0080524F">
      <w:r>
        <w:separator/>
      </w:r>
    </w:p>
  </w:endnote>
  <w:endnote w:type="continuationSeparator" w:id="0">
    <w:p w:rsidR="00AB3FE3" w:rsidRDefault="00AB3FE3"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FE3" w:rsidRDefault="00AB3FE3" w:rsidP="0080524F">
      <w:r>
        <w:separator/>
      </w:r>
    </w:p>
  </w:footnote>
  <w:footnote w:type="continuationSeparator" w:id="0">
    <w:p w:rsidR="00AB3FE3" w:rsidRDefault="00AB3FE3" w:rsidP="0080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4F" w:rsidRDefault="0080524F">
    <w:pPr>
      <w:pStyle w:val="Header"/>
    </w:pPr>
    <w:r>
      <w:rPr>
        <w:noProof/>
      </w:rPr>
      <w:drawing>
        <wp:inline distT="0" distB="0" distL="0" distR="0">
          <wp:extent cx="6167120" cy="11082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74462" cy="11095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E4718"/>
    <w:multiLevelType w:val="singleLevel"/>
    <w:tmpl w:val="0409000F"/>
    <w:lvl w:ilvl="0">
      <w:start w:val="1"/>
      <w:numFmt w:val="decimal"/>
      <w:lvlText w:val="%1."/>
      <w:lvlJc w:val="left"/>
      <w:pPr>
        <w:tabs>
          <w:tab w:val="num" w:pos="360"/>
        </w:tabs>
        <w:ind w:left="360" w:hanging="360"/>
      </w:pPr>
    </w:lvl>
  </w:abstractNum>
  <w:abstractNum w:abstractNumId="5">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9"/>
  </w:num>
  <w:num w:numId="4">
    <w:abstractNumId w:val="7"/>
  </w:num>
  <w:num w:numId="5">
    <w:abstractNumId w:val="4"/>
  </w:num>
  <w:num w:numId="6">
    <w:abstractNumId w:val="0"/>
  </w:num>
  <w:num w:numId="7">
    <w:abstractNumId w:val="8"/>
  </w:num>
  <w:num w:numId="8">
    <w:abstractNumId w:val="1"/>
  </w:num>
  <w:num w:numId="9">
    <w:abstractNumId w:val="1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5362"/>
  </w:hdrShapeDefaults>
  <w:footnotePr>
    <w:footnote w:id="-1"/>
    <w:footnote w:id="0"/>
  </w:footnotePr>
  <w:endnotePr>
    <w:endnote w:id="-1"/>
    <w:endnote w:id="0"/>
  </w:endnotePr>
  <w:compat/>
  <w:rsids>
    <w:rsidRoot w:val="00A70ACA"/>
    <w:rsid w:val="00073F7F"/>
    <w:rsid w:val="0007528B"/>
    <w:rsid w:val="00077E8C"/>
    <w:rsid w:val="00095EF6"/>
    <w:rsid w:val="00097658"/>
    <w:rsid w:val="000B33D6"/>
    <w:rsid w:val="000E4803"/>
    <w:rsid w:val="000E7E87"/>
    <w:rsid w:val="000F4A45"/>
    <w:rsid w:val="000F5160"/>
    <w:rsid w:val="00137559"/>
    <w:rsid w:val="0014477C"/>
    <w:rsid w:val="00156130"/>
    <w:rsid w:val="00167951"/>
    <w:rsid w:val="00174368"/>
    <w:rsid w:val="001747F8"/>
    <w:rsid w:val="001A5048"/>
    <w:rsid w:val="001A602F"/>
    <w:rsid w:val="001B4975"/>
    <w:rsid w:val="001C3E7F"/>
    <w:rsid w:val="001D5CBA"/>
    <w:rsid w:val="001F5C3D"/>
    <w:rsid w:val="00227A80"/>
    <w:rsid w:val="00243E5F"/>
    <w:rsid w:val="00260F65"/>
    <w:rsid w:val="00272A57"/>
    <w:rsid w:val="002967A2"/>
    <w:rsid w:val="002B0423"/>
    <w:rsid w:val="002B5B0A"/>
    <w:rsid w:val="002C1B11"/>
    <w:rsid w:val="002D5466"/>
    <w:rsid w:val="00314BEA"/>
    <w:rsid w:val="003232D5"/>
    <w:rsid w:val="00350CD7"/>
    <w:rsid w:val="0038705F"/>
    <w:rsid w:val="003903AE"/>
    <w:rsid w:val="00393F39"/>
    <w:rsid w:val="003A6E72"/>
    <w:rsid w:val="003B6379"/>
    <w:rsid w:val="003C3732"/>
    <w:rsid w:val="003C4ECA"/>
    <w:rsid w:val="003E5FF2"/>
    <w:rsid w:val="003F3E36"/>
    <w:rsid w:val="003F4F0F"/>
    <w:rsid w:val="00422DB0"/>
    <w:rsid w:val="0045164A"/>
    <w:rsid w:val="00454944"/>
    <w:rsid w:val="00456CF2"/>
    <w:rsid w:val="004C51BE"/>
    <w:rsid w:val="004D2A8A"/>
    <w:rsid w:val="004F06DD"/>
    <w:rsid w:val="004F1157"/>
    <w:rsid w:val="00515209"/>
    <w:rsid w:val="00523130"/>
    <w:rsid w:val="0052690A"/>
    <w:rsid w:val="00532AD2"/>
    <w:rsid w:val="00561E44"/>
    <w:rsid w:val="00563D3A"/>
    <w:rsid w:val="00564E67"/>
    <w:rsid w:val="00570CD7"/>
    <w:rsid w:val="00582282"/>
    <w:rsid w:val="00591978"/>
    <w:rsid w:val="005A5C11"/>
    <w:rsid w:val="005E1A14"/>
    <w:rsid w:val="005F1CF9"/>
    <w:rsid w:val="00611D4B"/>
    <w:rsid w:val="006323FF"/>
    <w:rsid w:val="006334B2"/>
    <w:rsid w:val="0063477D"/>
    <w:rsid w:val="00697BC0"/>
    <w:rsid w:val="006A447F"/>
    <w:rsid w:val="006D2290"/>
    <w:rsid w:val="006D775C"/>
    <w:rsid w:val="006E59A0"/>
    <w:rsid w:val="006F464F"/>
    <w:rsid w:val="00715CA6"/>
    <w:rsid w:val="00742798"/>
    <w:rsid w:val="007569B0"/>
    <w:rsid w:val="007619EA"/>
    <w:rsid w:val="00767EF1"/>
    <w:rsid w:val="00770333"/>
    <w:rsid w:val="00784FB3"/>
    <w:rsid w:val="007A1BB8"/>
    <w:rsid w:val="007A277D"/>
    <w:rsid w:val="007A7FEB"/>
    <w:rsid w:val="007B2466"/>
    <w:rsid w:val="007B34B7"/>
    <w:rsid w:val="007C31D8"/>
    <w:rsid w:val="007F2578"/>
    <w:rsid w:val="0080524F"/>
    <w:rsid w:val="0081209B"/>
    <w:rsid w:val="00813C01"/>
    <w:rsid w:val="00816F31"/>
    <w:rsid w:val="00823A22"/>
    <w:rsid w:val="00837A91"/>
    <w:rsid w:val="008469AE"/>
    <w:rsid w:val="00850B3E"/>
    <w:rsid w:val="0085207C"/>
    <w:rsid w:val="00854B26"/>
    <w:rsid w:val="00873FF4"/>
    <w:rsid w:val="0088472D"/>
    <w:rsid w:val="00892831"/>
    <w:rsid w:val="008C2074"/>
    <w:rsid w:val="008E1267"/>
    <w:rsid w:val="008E597A"/>
    <w:rsid w:val="008F032D"/>
    <w:rsid w:val="0092712A"/>
    <w:rsid w:val="0095311B"/>
    <w:rsid w:val="00983D15"/>
    <w:rsid w:val="009C1868"/>
    <w:rsid w:val="009D2817"/>
    <w:rsid w:val="009D6D1B"/>
    <w:rsid w:val="00A34B80"/>
    <w:rsid w:val="00A3622C"/>
    <w:rsid w:val="00A368A8"/>
    <w:rsid w:val="00A373EF"/>
    <w:rsid w:val="00A413CA"/>
    <w:rsid w:val="00A4407B"/>
    <w:rsid w:val="00A50C8E"/>
    <w:rsid w:val="00A70ACA"/>
    <w:rsid w:val="00A76347"/>
    <w:rsid w:val="00A84076"/>
    <w:rsid w:val="00A91E60"/>
    <w:rsid w:val="00AA7470"/>
    <w:rsid w:val="00AB3FE3"/>
    <w:rsid w:val="00AC4FC1"/>
    <w:rsid w:val="00AC56F2"/>
    <w:rsid w:val="00B00BA6"/>
    <w:rsid w:val="00B07D77"/>
    <w:rsid w:val="00B16E49"/>
    <w:rsid w:val="00B20032"/>
    <w:rsid w:val="00B278A0"/>
    <w:rsid w:val="00B3577B"/>
    <w:rsid w:val="00B57FD0"/>
    <w:rsid w:val="00B65D8A"/>
    <w:rsid w:val="00B71B63"/>
    <w:rsid w:val="00B71CDE"/>
    <w:rsid w:val="00BA26BA"/>
    <w:rsid w:val="00BB5EF6"/>
    <w:rsid w:val="00BC267B"/>
    <w:rsid w:val="00C00C06"/>
    <w:rsid w:val="00C21D5A"/>
    <w:rsid w:val="00C373DD"/>
    <w:rsid w:val="00C4325D"/>
    <w:rsid w:val="00C55099"/>
    <w:rsid w:val="00C706DF"/>
    <w:rsid w:val="00CA3DDF"/>
    <w:rsid w:val="00CB418D"/>
    <w:rsid w:val="00CB5276"/>
    <w:rsid w:val="00CB5B9E"/>
    <w:rsid w:val="00CB7CF2"/>
    <w:rsid w:val="00CD1CA9"/>
    <w:rsid w:val="00CE0268"/>
    <w:rsid w:val="00CF060F"/>
    <w:rsid w:val="00D02253"/>
    <w:rsid w:val="00D069E4"/>
    <w:rsid w:val="00D14EE9"/>
    <w:rsid w:val="00D2268C"/>
    <w:rsid w:val="00D2777A"/>
    <w:rsid w:val="00D30A37"/>
    <w:rsid w:val="00D536FB"/>
    <w:rsid w:val="00D53D9D"/>
    <w:rsid w:val="00D617A5"/>
    <w:rsid w:val="00D721DA"/>
    <w:rsid w:val="00D802EF"/>
    <w:rsid w:val="00D8567C"/>
    <w:rsid w:val="00DA7728"/>
    <w:rsid w:val="00DB2135"/>
    <w:rsid w:val="00DB31EF"/>
    <w:rsid w:val="00DF0CB7"/>
    <w:rsid w:val="00E025A8"/>
    <w:rsid w:val="00E10DB9"/>
    <w:rsid w:val="00E42D28"/>
    <w:rsid w:val="00E440F1"/>
    <w:rsid w:val="00E4745B"/>
    <w:rsid w:val="00E47831"/>
    <w:rsid w:val="00E6750F"/>
    <w:rsid w:val="00E70648"/>
    <w:rsid w:val="00E87008"/>
    <w:rsid w:val="00EA7E56"/>
    <w:rsid w:val="00EB075B"/>
    <w:rsid w:val="00F0096C"/>
    <w:rsid w:val="00F02D81"/>
    <w:rsid w:val="00F20C3C"/>
    <w:rsid w:val="00F30770"/>
    <w:rsid w:val="00F732C6"/>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3">
    <w:name w:val="heading 3"/>
    <w:basedOn w:val="Normal"/>
    <w:next w:val="Normal"/>
    <w:link w:val="Heading3Char"/>
    <w:rsid w:val="00611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nhideWhenUsed/>
    <w:rsid w:val="00D02253"/>
    <w:rPr>
      <w:rFonts w:ascii="Tahoma" w:hAnsi="Tahoma" w:cs="Tahoma"/>
      <w:sz w:val="16"/>
      <w:szCs w:val="16"/>
    </w:rPr>
  </w:style>
  <w:style w:type="character" w:customStyle="1" w:styleId="BalloonTextChar">
    <w:name w:val="Balloon Text Char"/>
    <w:basedOn w:val="DefaultParagraphFont"/>
    <w:link w:val="BalloonText"/>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611D4B"/>
    <w:rPr>
      <w:rFonts w:asciiTheme="majorHAnsi" w:eastAsiaTheme="majorEastAsia" w:hAnsiTheme="majorHAnsi" w:cstheme="majorBidi"/>
      <w:b/>
      <w:b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3">
    <w:name w:val="heading 3"/>
    <w:basedOn w:val="Normal"/>
    <w:next w:val="Normal"/>
    <w:link w:val="Heading3Char"/>
    <w:rsid w:val="00611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nhideWhenUsed/>
    <w:rsid w:val="00D02253"/>
    <w:rPr>
      <w:rFonts w:ascii="Tahoma" w:hAnsi="Tahoma" w:cs="Tahoma"/>
      <w:sz w:val="16"/>
      <w:szCs w:val="16"/>
    </w:rPr>
  </w:style>
  <w:style w:type="character" w:customStyle="1" w:styleId="BalloonTextChar">
    <w:name w:val="Balloon Text Char"/>
    <w:basedOn w:val="DefaultParagraphFont"/>
    <w:link w:val="BalloonText"/>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611D4B"/>
    <w:rPr>
      <w:rFonts w:asciiTheme="majorHAnsi" w:eastAsiaTheme="majorEastAsia" w:hAnsiTheme="majorHAnsi" w:cstheme="majorBidi"/>
      <w:b/>
      <w:bCs/>
      <w:color w:val="4F81BD" w:themeColor="accent1"/>
      <w:sz w:val="24"/>
      <w:szCs w:val="20"/>
    </w:rPr>
  </w:style>
</w:styles>
</file>

<file path=word/webSettings.xml><?xml version="1.0" encoding="utf-8"?>
<w:webSettings xmlns:r="http://schemas.openxmlformats.org/officeDocument/2006/relationships" xmlns:w="http://schemas.openxmlformats.org/wordprocessingml/2006/main">
  <w:divs>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595818056">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oe.com/tradtool/virtualtrade.aspx" TargetMode="External"/><Relationship Id="rId13" Type="http://schemas.openxmlformats.org/officeDocument/2006/relationships/hyperlink" Target="http://business.fau.edu/undergraduate/current-students/registration-enrollment/understanding-your-grades/download.aspx?id=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academic/registrar/catalog/academics.php"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d.fa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u.edu/regulations/chapter4/4.001_Code_of_Academic_Integrity.pdf" TargetMode="External"/><Relationship Id="rId4" Type="http://schemas.openxmlformats.org/officeDocument/2006/relationships/settings" Target="settings.xml"/><Relationship Id="rId9" Type="http://schemas.openxmlformats.org/officeDocument/2006/relationships/hyperlink" Target="http://www.pbs.org/wgbh/nova/stockmark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EE6F6-EE3C-4D6C-891C-7D5A1075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1</TotalTime>
  <Pages>7</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4</cp:revision>
  <cp:lastPrinted>2013-10-07T14:54:00Z</cp:lastPrinted>
  <dcterms:created xsi:type="dcterms:W3CDTF">2013-11-23T17:22:00Z</dcterms:created>
  <dcterms:modified xsi:type="dcterms:W3CDTF">2013-11-23T17:47:00Z</dcterms:modified>
</cp:coreProperties>
</file>