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EC" w:rsidRPr="00D966F2" w:rsidRDefault="00D558EC" w:rsidP="00D966F2">
      <w:pPr>
        <w:jc w:val="center"/>
        <w:rPr>
          <w:b/>
          <w:sz w:val="24"/>
          <w:szCs w:val="24"/>
        </w:rPr>
      </w:pPr>
      <w:r w:rsidRPr="00DB1345">
        <w:rPr>
          <w:b/>
          <w:sz w:val="24"/>
          <w:szCs w:val="24"/>
        </w:rPr>
        <w:t>HUM 2020:</w:t>
      </w:r>
      <w:r w:rsidR="00D966F2">
        <w:rPr>
          <w:b/>
          <w:sz w:val="24"/>
          <w:szCs w:val="24"/>
        </w:rPr>
        <w:t xml:space="preserve"> </w:t>
      </w:r>
      <w:r w:rsidR="00D966F2">
        <w:rPr>
          <w:b/>
          <w:sz w:val="24"/>
          <w:szCs w:val="24"/>
        </w:rPr>
        <w:br/>
        <w:t xml:space="preserve">Honors </w:t>
      </w:r>
      <w:r w:rsidRPr="00DB1345">
        <w:rPr>
          <w:b/>
          <w:sz w:val="24"/>
          <w:szCs w:val="24"/>
        </w:rPr>
        <w:t xml:space="preserve">Introduction to </w:t>
      </w:r>
      <w:r w:rsidR="003A5730">
        <w:rPr>
          <w:b/>
          <w:sz w:val="24"/>
          <w:szCs w:val="24"/>
        </w:rPr>
        <w:t xml:space="preserve">the </w:t>
      </w:r>
      <w:r w:rsidRPr="00DB1345">
        <w:rPr>
          <w:b/>
          <w:sz w:val="24"/>
          <w:szCs w:val="24"/>
        </w:rPr>
        <w:t>Humanities</w:t>
      </w:r>
      <w:r w:rsidRPr="00DB1345">
        <w:rPr>
          <w:b/>
          <w:sz w:val="24"/>
          <w:szCs w:val="24"/>
        </w:rPr>
        <w:br/>
      </w:r>
      <w:r w:rsidRPr="00DB1345">
        <w:rPr>
          <w:b/>
          <w:sz w:val="20"/>
          <w:szCs w:val="20"/>
        </w:rPr>
        <w:t>Daniel White</w:t>
      </w:r>
      <w:r w:rsidRPr="00DB1345">
        <w:rPr>
          <w:b/>
          <w:sz w:val="20"/>
          <w:szCs w:val="20"/>
        </w:rPr>
        <w:br/>
        <w:t>Wilkes Honors College</w:t>
      </w:r>
    </w:p>
    <w:p w:rsidR="00D558EC" w:rsidRDefault="00D558EC" w:rsidP="00D558EC">
      <w:pPr>
        <w:jc w:val="center"/>
      </w:pPr>
    </w:p>
    <w:p w:rsidR="00D558EC" w:rsidRDefault="00D558EC" w:rsidP="00D558EC">
      <w:r w:rsidRPr="00D558EC">
        <w:rPr>
          <w:b/>
        </w:rPr>
        <w:t>Course Description</w:t>
      </w:r>
      <w:r w:rsidRPr="00D558EC">
        <w:rPr>
          <w:b/>
        </w:rPr>
        <w:br/>
        <w:t>HUM 2020</w:t>
      </w:r>
      <w:r>
        <w:rPr>
          <w:b/>
        </w:rPr>
        <w:t xml:space="preserve"> </w:t>
      </w:r>
      <w:r w:rsidRPr="00D558EC">
        <w:t xml:space="preserve">fulfills one three-hour component of the Honors College Humanities Core. In the words </w:t>
      </w:r>
      <w:r w:rsidR="008E6250" w:rsidRPr="00D558EC">
        <w:t>of Dennis</w:t>
      </w:r>
      <w:r w:rsidRPr="00D558EC">
        <w:t xml:space="preserve"> J. Sporre, author of the</w:t>
      </w:r>
      <w:r>
        <w:t xml:space="preserve"> primary</w:t>
      </w:r>
      <w:r w:rsidR="00CE43E2">
        <w:t xml:space="preserve"> text</w:t>
      </w:r>
      <w:r>
        <w:t xml:space="preserve">, </w:t>
      </w:r>
      <w:proofErr w:type="gramStart"/>
      <w:r w:rsidRPr="00D558EC">
        <w:rPr>
          <w:i/>
        </w:rPr>
        <w:t>Perceiving</w:t>
      </w:r>
      <w:proofErr w:type="gramEnd"/>
      <w:r w:rsidRPr="00D558EC">
        <w:rPr>
          <w:i/>
        </w:rPr>
        <w:t xml:space="preserve"> the Arts</w:t>
      </w:r>
      <w:r>
        <w:t>: “This</w:t>
      </w:r>
      <w:r w:rsidRPr="00D558EC">
        <w:t xml:space="preserve"> </w:t>
      </w:r>
      <w:r>
        <w:t xml:space="preserve">class </w:t>
      </w:r>
      <w:r w:rsidRPr="00D558EC">
        <w:t>presents the basic formal, technical, experiential, and co</w:t>
      </w:r>
      <w:r>
        <w:t xml:space="preserve">ntextual qualities of the arts. </w:t>
      </w:r>
      <w:r w:rsidRPr="00D558EC">
        <w:t>Students will develop confidence in approaching the arts and will gain skills that encourage life-long artistic and cultural engagement.  Intended to provide a basic overview of the major artistic disciplines - drawing, painting, printmaking, photography, sculpture, architecture, music, theatre</w:t>
      </w:r>
      <w:r>
        <w:t>, cinema, dance, and literature.” The class provides a study of various arts and their interdisciplinary connections via critical analysis of their</w:t>
      </w:r>
      <w:r w:rsidR="008E6250">
        <w:t xml:space="preserve"> aesthetic elements. It also</w:t>
      </w:r>
      <w:r>
        <w:t xml:space="preserve"> provides an introduction to the unde</w:t>
      </w:r>
      <w:r w:rsidR="00911D8B">
        <w:t xml:space="preserve">rstanding of the arts in </w:t>
      </w:r>
      <w:r>
        <w:t>historical context</w:t>
      </w:r>
      <w:r w:rsidR="00911D8B">
        <w:t xml:space="preserve">. </w:t>
      </w:r>
    </w:p>
    <w:p w:rsidR="00911D8B" w:rsidRDefault="00C77C62" w:rsidP="00C77C62">
      <w:pPr>
        <w:spacing w:after="0" w:line="240" w:lineRule="auto"/>
      </w:pPr>
      <w:r w:rsidRPr="00C77C62">
        <w:rPr>
          <w:rFonts w:eastAsia="Times New Roman"/>
          <w:b/>
        </w:rPr>
        <w:t xml:space="preserve">Note of Honors Distinction:  </w:t>
      </w:r>
      <w:r w:rsidRPr="00C77C62">
        <w:rPr>
          <w:rFonts w:eastAsia="Times New Roman"/>
        </w:rPr>
        <w:t xml:space="preserve">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This means the course will produce substantive work that reflects </w:t>
      </w:r>
      <w:proofErr w:type="spellStart"/>
      <w:r w:rsidRPr="00C77C62">
        <w:rPr>
          <w:rFonts w:eastAsia="Times New Roman"/>
        </w:rPr>
        <w:t>interdisciplinarity</w:t>
      </w:r>
      <w:proofErr w:type="spellEnd"/>
      <w:r w:rsidRPr="00C77C62">
        <w:rPr>
          <w:rFonts w:eastAsia="Times New Roman"/>
        </w:rPr>
        <w:t xml:space="preserve"> and connections among academic fields, research and direct access to sources of knowledge pertinent to the field, leadership, creative and critical thinking, and engagement with the world outside the university.  Secondly, the writing component of the course will be much more demanding, and will prepare students for upper-division college writing and for work on the </w:t>
      </w:r>
      <w:r w:rsidRPr="00C77C62">
        <w:rPr>
          <w:rFonts w:eastAsia="Times New Roman"/>
          <w:b/>
        </w:rPr>
        <w:t>Honors Thesis</w:t>
      </w:r>
      <w:r w:rsidRPr="00C77C62">
        <w:rPr>
          <w:rFonts w:eastAsia="Times New Roman"/>
        </w:rPr>
        <w:t>.  Students will be exposed to vocabulary of a specifically theoretical nature, and will be expected to comprehend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w:t>
      </w:r>
      <w:r>
        <w:rPr>
          <w:rFonts w:eastAsia="Times New Roman"/>
        </w:rPr>
        <w:t>ay’s reading community</w:t>
      </w:r>
      <w:r w:rsidRPr="00C77C62">
        <w:rPr>
          <w:rFonts w:eastAsia="Times New Roman"/>
        </w:rPr>
        <w:t xml:space="preserve">.  </w:t>
      </w:r>
      <w:r w:rsidR="00911D8B" w:rsidRPr="00C77C62">
        <w:t xml:space="preserve">Thus students will be challenged not only to learn factual material regarding </w:t>
      </w:r>
      <w:r w:rsidR="00911D8B">
        <w:t>the a</w:t>
      </w:r>
      <w:r w:rsidR="00953851">
        <w:t>rts, but also to engage in</w:t>
      </w:r>
      <w:r w:rsidR="00911D8B">
        <w:t xml:space="preserve"> interpretation and evaluation through critical writing and discussion. A final project will be required, moreover, in which each student will be expected to write an interdisciplinary paper provi</w:t>
      </w:r>
      <w:r w:rsidR="00C465E7">
        <w:t>di</w:t>
      </w:r>
      <w:r w:rsidR="00911D8B">
        <w:t>ng a coherent understanding of at least three art forms</w:t>
      </w:r>
      <w:r w:rsidR="007C1A2D">
        <w:t xml:space="preserve"> in historical context</w:t>
      </w:r>
      <w:r w:rsidR="00911D8B">
        <w:t xml:space="preserve">. </w:t>
      </w:r>
      <w:r w:rsidR="00506884">
        <w:t>Examples of what this paper will entail are given below.</w:t>
      </w:r>
    </w:p>
    <w:p w:rsidR="00C77C62" w:rsidRDefault="00C77C62" w:rsidP="00D558EC">
      <w:pPr>
        <w:rPr>
          <w:b/>
        </w:rPr>
      </w:pPr>
    </w:p>
    <w:p w:rsidR="00861362" w:rsidRDefault="00861362" w:rsidP="00D558EC">
      <w:pPr>
        <w:rPr>
          <w:b/>
        </w:rPr>
      </w:pPr>
      <w:bookmarkStart w:id="0" w:name="_GoBack"/>
      <w:bookmarkEnd w:id="0"/>
      <w:r>
        <w:rPr>
          <w:b/>
        </w:rPr>
        <w:t>Course Objectives:</w:t>
      </w:r>
      <w:r>
        <w:rPr>
          <w:b/>
        </w:rPr>
        <w:br/>
      </w:r>
      <w:r w:rsidRPr="0092395F">
        <w:t>1) to provide an introduction to the critical interpretation and evaluation of the arts including a study of aesthetic elements and selected historical contexts;</w:t>
      </w:r>
      <w:r w:rsidRPr="0092395F">
        <w:br/>
        <w:t>2) to provide a multicultural understanding of artistic creativity and its contributi</w:t>
      </w:r>
      <w:r w:rsidR="002A207C" w:rsidRPr="0092395F">
        <w:t xml:space="preserve">ons to the global </w:t>
      </w:r>
      <w:r w:rsidRPr="0092395F">
        <w:t>human community;</w:t>
      </w:r>
      <w:r w:rsidRPr="0092395F">
        <w:br/>
        <w:t>3) to develop skills in critical thinking, writing, and dialogue;</w:t>
      </w:r>
      <w:r w:rsidRPr="0092395F">
        <w:br/>
        <w:t>4) to provide intellectual foundations for further study in specific areas of the humanities covered by t</w:t>
      </w:r>
      <w:r w:rsidR="00422926" w:rsidRPr="0092395F">
        <w:t>he interdisciplinary curriculum;</w:t>
      </w:r>
      <w:r w:rsidR="00422926" w:rsidRPr="0092395F">
        <w:br/>
        <w:t xml:space="preserve">5) </w:t>
      </w:r>
      <w:r w:rsidR="001F38E2">
        <w:t>t</w:t>
      </w:r>
      <w:r w:rsidR="00422926" w:rsidRPr="0092395F">
        <w:t>o contribute to the critical judgment, enlightened understanding, and open mind of the value-conscious, liberally educated individual.</w:t>
      </w:r>
      <w:r>
        <w:rPr>
          <w:b/>
        </w:rPr>
        <w:t xml:space="preserve"> </w:t>
      </w:r>
    </w:p>
    <w:p w:rsidR="00DB10B0" w:rsidRDefault="00506884" w:rsidP="00D558EC">
      <w:r>
        <w:rPr>
          <w:b/>
        </w:rPr>
        <w:t xml:space="preserve">Course Requirements: </w:t>
      </w:r>
      <w:r w:rsidR="00DB10B0">
        <w:t>the principal forms of evaluation of your performance in this</w:t>
      </w:r>
      <w:r w:rsidR="00D428C7">
        <w:t xml:space="preserve"> class will be in terms of analyti</w:t>
      </w:r>
      <w:r w:rsidR="00DB10B0">
        <w:t xml:space="preserve">cal writing, discussion, and oral presentation: specific requirements include: </w:t>
      </w:r>
    </w:p>
    <w:p w:rsidR="00277D3D" w:rsidRDefault="00277D3D" w:rsidP="00D558EC">
      <w:r w:rsidRPr="00DB10B0">
        <w:rPr>
          <w:b/>
        </w:rPr>
        <w:lastRenderedPageBreak/>
        <w:t xml:space="preserve">1) </w:t>
      </w:r>
      <w:proofErr w:type="gramStart"/>
      <w:r w:rsidRPr="00DB10B0">
        <w:rPr>
          <w:b/>
        </w:rPr>
        <w:t>a</w:t>
      </w:r>
      <w:proofErr w:type="gramEnd"/>
      <w:r w:rsidRPr="00DB10B0">
        <w:rPr>
          <w:b/>
        </w:rPr>
        <w:t xml:space="preserve"> series of </w:t>
      </w:r>
      <w:r w:rsidR="00333E6D">
        <w:rPr>
          <w:b/>
          <w:i/>
        </w:rPr>
        <w:t>four</w:t>
      </w:r>
      <w:r w:rsidR="00D52818">
        <w:rPr>
          <w:b/>
        </w:rPr>
        <w:t xml:space="preserve"> short</w:t>
      </w:r>
      <w:r w:rsidRPr="00DB10B0">
        <w:rPr>
          <w:b/>
        </w:rPr>
        <w:t xml:space="preserve"> essays</w:t>
      </w:r>
      <w:r>
        <w:t xml:space="preserve"> in response to problems in the criticism and interpretation of the arts: </w:t>
      </w:r>
      <w:r w:rsidRPr="00DB10B0">
        <w:rPr>
          <w:b/>
        </w:rPr>
        <w:t>60% of final grade</w:t>
      </w:r>
      <w:r w:rsidR="00A964F2">
        <w:t>;</w:t>
      </w:r>
    </w:p>
    <w:p w:rsidR="00277D3D" w:rsidRPr="00DB10B0" w:rsidRDefault="00277D3D" w:rsidP="00D558EC">
      <w:pPr>
        <w:rPr>
          <w:b/>
        </w:rPr>
      </w:pPr>
      <w:r>
        <w:t xml:space="preserve">2) </w:t>
      </w:r>
      <w:proofErr w:type="gramStart"/>
      <w:r w:rsidRPr="00DB10B0">
        <w:rPr>
          <w:b/>
        </w:rPr>
        <w:t>regular</w:t>
      </w:r>
      <w:proofErr w:type="gramEnd"/>
      <w:r w:rsidRPr="00DB10B0">
        <w:rPr>
          <w:b/>
        </w:rPr>
        <w:t xml:space="preserve"> attendance and </w:t>
      </w:r>
      <w:r w:rsidR="00A964F2" w:rsidRPr="00DB10B0">
        <w:rPr>
          <w:b/>
        </w:rPr>
        <w:t xml:space="preserve">informed </w:t>
      </w:r>
      <w:r w:rsidRPr="00DB10B0">
        <w:rPr>
          <w:b/>
        </w:rPr>
        <w:t>participation</w:t>
      </w:r>
      <w:r w:rsidR="00A964F2">
        <w:t xml:space="preserve"> in class discussion,</w:t>
      </w:r>
      <w:r>
        <w:t xml:space="preserve"> including occasional </w:t>
      </w:r>
      <w:r w:rsidR="00DB10B0">
        <w:rPr>
          <w:b/>
        </w:rPr>
        <w:t xml:space="preserve">quizzes and a brief class presentation, </w:t>
      </w:r>
      <w:r>
        <w:t xml:space="preserve">covering assigned materials: </w:t>
      </w:r>
      <w:r w:rsidRPr="00DB10B0">
        <w:rPr>
          <w:b/>
        </w:rPr>
        <w:t>15%</w:t>
      </w:r>
      <w:r w:rsidR="00DB10B0">
        <w:rPr>
          <w:b/>
        </w:rPr>
        <w:t xml:space="preserve"> of final</w:t>
      </w:r>
      <w:r w:rsidR="005C049D">
        <w:rPr>
          <w:b/>
        </w:rPr>
        <w:t xml:space="preserve"> grade</w:t>
      </w:r>
      <w:r w:rsidR="00A964F2" w:rsidRPr="00DB10B0">
        <w:rPr>
          <w:b/>
        </w:rPr>
        <w:t>;</w:t>
      </w:r>
    </w:p>
    <w:p w:rsidR="00D40E7E" w:rsidRDefault="00A964F2" w:rsidP="00D558EC">
      <w:r>
        <w:t xml:space="preserve">3) </w:t>
      </w:r>
      <w:proofErr w:type="gramStart"/>
      <w:r w:rsidRPr="008C338A">
        <w:rPr>
          <w:b/>
        </w:rPr>
        <w:t>a</w:t>
      </w:r>
      <w:proofErr w:type="gramEnd"/>
      <w:r w:rsidRPr="008C338A">
        <w:rPr>
          <w:b/>
        </w:rPr>
        <w:t xml:space="preserve"> final essay</w:t>
      </w:r>
      <w:r>
        <w:t xml:space="preserve"> providing an interdisciplinary analysis of at least three art f</w:t>
      </w:r>
      <w:r w:rsidR="00640CC5">
        <w:t xml:space="preserve">orms in historical context: </w:t>
      </w:r>
      <w:r w:rsidR="00DB10B0" w:rsidRPr="00333E6D">
        <w:rPr>
          <w:b/>
        </w:rPr>
        <w:t>25% of final grade</w:t>
      </w:r>
      <w:r w:rsidR="00D10E87">
        <w:rPr>
          <w:b/>
        </w:rPr>
        <w:t xml:space="preserve">.  There will be two options (see weeks 14 and 15): </w:t>
      </w:r>
      <w:r>
        <w:br/>
      </w:r>
      <w:r>
        <w:tab/>
        <w:t xml:space="preserve">a) an essay discussing the aesthetic qualities and historical setting of German Romanticism as evidenced in Johann W. von Goethe’s </w:t>
      </w:r>
      <w:hyperlink r:id="rId4" w:history="1">
        <w:r w:rsidRPr="00A964F2">
          <w:rPr>
            <w:rStyle w:val="Hyperlink"/>
          </w:rPr>
          <w:t>The Sorrows of Young Werther</w:t>
        </w:r>
        <w:r>
          <w:rPr>
            <w:rStyle w:val="Hyperlink"/>
          </w:rPr>
          <w:t>,</w:t>
        </w:r>
      </w:hyperlink>
      <w:r w:rsidR="00C56E96">
        <w:t xml:space="preserve"> Ludwig van Beethoven’s </w:t>
      </w:r>
      <w:hyperlink r:id="rId5" w:history="1">
        <w:r w:rsidRPr="00331793">
          <w:rPr>
            <w:rStyle w:val="Hyperlink"/>
          </w:rPr>
          <w:t>Piano Sonata No. 8 in C minor, Op. 13 (</w:t>
        </w:r>
        <w:r w:rsidRPr="00331793">
          <w:rPr>
            <w:rStyle w:val="Hyperlink"/>
            <w:i/>
          </w:rPr>
          <w:t>Pathétique</w:t>
        </w:r>
        <w:r w:rsidRPr="00331793">
          <w:rPr>
            <w:rStyle w:val="Hyperlink"/>
          </w:rPr>
          <w:t>, 1798)</w:t>
        </w:r>
      </w:hyperlink>
      <w:r>
        <w:t xml:space="preserve">,  and Caspar David Friedrich’s </w:t>
      </w:r>
      <w:hyperlink r:id="rId6" w:history="1">
        <w:r w:rsidRPr="00A964F2">
          <w:rPr>
            <w:rStyle w:val="Hyperlink"/>
          </w:rPr>
          <w:t>Man and Woman Contemplating the Moon c. 1824</w:t>
        </w:r>
      </w:hyperlink>
      <w:r>
        <w:t xml:space="preserve">. </w:t>
      </w:r>
    </w:p>
    <w:p w:rsidR="00640CC5" w:rsidRDefault="00D40E7E" w:rsidP="00D558EC">
      <w:r>
        <w:tab/>
        <w:t xml:space="preserve">b) </w:t>
      </w:r>
      <w:r w:rsidR="00A964F2">
        <w:t xml:space="preserve"> </w:t>
      </w:r>
      <w:r w:rsidR="00331793">
        <w:t xml:space="preserve">an essay discussing the aesthetic qualities and historical setting of </w:t>
      </w:r>
      <w:hyperlink r:id="rId7" w:history="1">
        <w:r w:rsidR="00331793" w:rsidRPr="00331793">
          <w:rPr>
            <w:rStyle w:val="Hyperlink"/>
          </w:rPr>
          <w:t>The Pillow Book</w:t>
        </w:r>
      </w:hyperlink>
      <w:r w:rsidR="00331793">
        <w:t xml:space="preserve"> by </w:t>
      </w:r>
      <w:hyperlink r:id="rId8" w:tooltip="Sei Shōnagon" w:history="1">
        <w:proofErr w:type="spellStart"/>
        <w:r w:rsidR="00331793">
          <w:rPr>
            <w:rStyle w:val="Hyperlink"/>
          </w:rPr>
          <w:t>Sei</w:t>
        </w:r>
        <w:proofErr w:type="spellEnd"/>
        <w:r w:rsidR="00331793">
          <w:rPr>
            <w:rStyle w:val="Hyperlink"/>
          </w:rPr>
          <w:t xml:space="preserve"> </w:t>
        </w:r>
        <w:proofErr w:type="spellStart"/>
        <w:r w:rsidR="00331793">
          <w:rPr>
            <w:rStyle w:val="Hyperlink"/>
          </w:rPr>
          <w:t>Shōnagon</w:t>
        </w:r>
        <w:proofErr w:type="spellEnd"/>
      </w:hyperlink>
      <w:r w:rsidR="00331793">
        <w:t xml:space="preserve"> (1002) in relation to the arts and music of late 10</w:t>
      </w:r>
      <w:r w:rsidR="00331793" w:rsidRPr="00331793">
        <w:rPr>
          <w:vertAlign w:val="superscript"/>
        </w:rPr>
        <w:t>th</w:t>
      </w:r>
      <w:r w:rsidR="00331793">
        <w:t xml:space="preserve"> and early 11</w:t>
      </w:r>
      <w:r w:rsidR="00331793" w:rsidRPr="00331793">
        <w:rPr>
          <w:vertAlign w:val="superscript"/>
        </w:rPr>
        <w:t>th</w:t>
      </w:r>
      <w:r w:rsidR="00331793">
        <w:t xml:space="preserve"> century Japan (the Heian Period), e.g. the </w:t>
      </w:r>
      <w:hyperlink r:id="rId9" w:tooltip="Byōdō-in" w:history="1">
        <w:proofErr w:type="spellStart"/>
        <w:r w:rsidR="00331793" w:rsidRPr="001E0C51">
          <w:rPr>
            <w:rStyle w:val="Hyperlink"/>
          </w:rPr>
          <w:t>Byōdō</w:t>
        </w:r>
        <w:proofErr w:type="spellEnd"/>
        <w:r w:rsidR="00331793" w:rsidRPr="001E0C51">
          <w:rPr>
            <w:rStyle w:val="Hyperlink"/>
          </w:rPr>
          <w:t xml:space="preserve">-in </w:t>
        </w:r>
        <w:r w:rsidR="001E0C51" w:rsidRPr="001E0C51">
          <w:rPr>
            <w:rStyle w:val="Hyperlink"/>
          </w:rPr>
          <w:t>(</w:t>
        </w:r>
        <w:r w:rsidR="00331793" w:rsidRPr="001E0C51">
          <w:rPr>
            <w:rStyle w:val="Hyperlink"/>
          </w:rPr>
          <w:t>Phoenix Hall</w:t>
        </w:r>
        <w:r w:rsidR="001E0C51" w:rsidRPr="001E0C51">
          <w:rPr>
            <w:rStyle w:val="Hyperlink"/>
          </w:rPr>
          <w:t>)</w:t>
        </w:r>
      </w:hyperlink>
      <w:r w:rsidR="00331793">
        <w:t xml:space="preserve"> in </w:t>
      </w:r>
      <w:proofErr w:type="spellStart"/>
      <w:r w:rsidR="00331793">
        <w:t>Heian-</w:t>
      </w:r>
      <w:r w:rsidR="001E0C51">
        <w:t>kyõ</w:t>
      </w:r>
      <w:proofErr w:type="spellEnd"/>
      <w:r w:rsidR="001E0C51">
        <w:t xml:space="preserve"> (</w:t>
      </w:r>
      <w:proofErr w:type="spellStart"/>
      <w:r w:rsidR="001E0C51">
        <w:t>Kyõto</w:t>
      </w:r>
      <w:proofErr w:type="spellEnd"/>
      <w:r w:rsidR="001E0C51">
        <w:t xml:space="preserve">), and images of women on the </w:t>
      </w:r>
      <w:hyperlink r:id="rId10" w:history="1">
        <w:proofErr w:type="spellStart"/>
        <w:r w:rsidR="001E0C51" w:rsidRPr="007D3C71">
          <w:rPr>
            <w:rStyle w:val="Hyperlink"/>
          </w:rPr>
          <w:t>Genji</w:t>
        </w:r>
        <w:proofErr w:type="spellEnd"/>
        <w:r w:rsidR="001E0C51" w:rsidRPr="007D3C71">
          <w:rPr>
            <w:rStyle w:val="Hyperlink"/>
          </w:rPr>
          <w:t xml:space="preserve"> </w:t>
        </w:r>
        <w:proofErr w:type="spellStart"/>
        <w:r w:rsidR="001E0C51" w:rsidRPr="007D3C71">
          <w:rPr>
            <w:rStyle w:val="Hyperlink"/>
          </w:rPr>
          <w:t>Monogatari</w:t>
        </w:r>
        <w:proofErr w:type="spellEnd"/>
        <w:r w:rsidR="001E0C51" w:rsidRPr="007D3C71">
          <w:rPr>
            <w:rStyle w:val="Hyperlink"/>
          </w:rPr>
          <w:t xml:space="preserve"> </w:t>
        </w:r>
        <w:proofErr w:type="spellStart"/>
        <w:r w:rsidR="001E0C51" w:rsidRPr="007D3C71">
          <w:rPr>
            <w:rStyle w:val="Hyperlink"/>
          </w:rPr>
          <w:t>Emaki</w:t>
        </w:r>
        <w:proofErr w:type="spellEnd"/>
        <w:r w:rsidR="001E0C51" w:rsidRPr="007D3C71">
          <w:rPr>
            <w:rStyle w:val="Hyperlink"/>
          </w:rPr>
          <w:t xml:space="preserve"> / Tale of </w:t>
        </w:r>
        <w:proofErr w:type="spellStart"/>
        <w:r w:rsidR="001E0C51" w:rsidRPr="007D3C71">
          <w:rPr>
            <w:rStyle w:val="Hyperlink"/>
          </w:rPr>
          <w:t>Genji</w:t>
        </w:r>
        <w:proofErr w:type="spellEnd"/>
        <w:r w:rsidR="001E0C51" w:rsidRPr="007D3C71">
          <w:rPr>
            <w:rStyle w:val="Hyperlink"/>
          </w:rPr>
          <w:t xml:space="preserve"> Hand Scroll</w:t>
        </w:r>
      </w:hyperlink>
      <w:r w:rsidR="007D3C71">
        <w:t xml:space="preserve"> </w:t>
      </w:r>
      <w:r w:rsidR="001E0C51">
        <w:t>(</w:t>
      </w:r>
      <w:r w:rsidR="008F4E16">
        <w:t xml:space="preserve">1120-1140), or, as an alternative, the roles of women in </w:t>
      </w:r>
      <w:hyperlink r:id="rId11" w:history="1">
        <w:r w:rsidR="008F4E16">
          <w:rPr>
            <w:rStyle w:val="Hyperlink"/>
          </w:rPr>
          <w:t>Dance of "Maiko" [Half Geisha] Kyoto, Japan</w:t>
        </w:r>
      </w:hyperlink>
      <w:r w:rsidR="008F4E16">
        <w:t xml:space="preserve"> (see </w:t>
      </w:r>
      <w:hyperlink r:id="rId12" w:history="1">
        <w:r w:rsidR="008F4E16" w:rsidRPr="008F4E16">
          <w:rPr>
            <w:rStyle w:val="Hyperlink"/>
          </w:rPr>
          <w:t>Geisha</w:t>
        </w:r>
      </w:hyperlink>
      <w:r w:rsidR="008F4E16">
        <w:t>)</w:t>
      </w:r>
      <w:r w:rsidR="00640CC5">
        <w:t>.</w:t>
      </w:r>
    </w:p>
    <w:p w:rsidR="00A964F2" w:rsidRPr="00A964F2" w:rsidRDefault="008F4E16" w:rsidP="00D558EC">
      <w:pPr>
        <w:rPr>
          <w:i/>
        </w:rPr>
      </w:pPr>
      <w:r>
        <w:t xml:space="preserve"> </w:t>
      </w:r>
    </w:p>
    <w:p w:rsidR="00E649B1" w:rsidRPr="00A86B66" w:rsidRDefault="00E649B1" w:rsidP="00D558EC">
      <w:r w:rsidRPr="00640CC5">
        <w:rPr>
          <w:b/>
        </w:rPr>
        <w:t>Required Text</w:t>
      </w:r>
      <w:r w:rsidR="00640CC5" w:rsidRPr="00640CC5">
        <w:rPr>
          <w:b/>
        </w:rPr>
        <w:t>s</w:t>
      </w:r>
      <w:r w:rsidRPr="00640CC5">
        <w:rPr>
          <w:b/>
        </w:rPr>
        <w:t>:</w:t>
      </w:r>
      <w:r w:rsidRPr="00E649B1">
        <w:rPr>
          <w:b/>
        </w:rPr>
        <w:t xml:space="preserve"> </w:t>
      </w:r>
      <w:r w:rsidR="00E03B2E">
        <w:rPr>
          <w:b/>
        </w:rPr>
        <w:br/>
      </w:r>
      <w:r w:rsidR="00E03B2E" w:rsidRPr="00E03B2E">
        <w:t>Goethe</w:t>
      </w:r>
      <w:r w:rsidR="00E03B2E">
        <w:t xml:space="preserve">, J. W. </w:t>
      </w:r>
      <w:hyperlink r:id="rId13" w:history="1">
        <w:r w:rsidR="00E03B2E" w:rsidRPr="00E03B2E">
          <w:rPr>
            <w:rStyle w:val="Hyperlink"/>
          </w:rPr>
          <w:t xml:space="preserve">The Sorrows of Young </w:t>
        </w:r>
        <w:proofErr w:type="spellStart"/>
        <w:r w:rsidR="00E03B2E" w:rsidRPr="00E03B2E">
          <w:rPr>
            <w:rStyle w:val="Hyperlink"/>
          </w:rPr>
          <w:t>Werther</w:t>
        </w:r>
        <w:proofErr w:type="spellEnd"/>
        <w:r w:rsidR="00E03B2E" w:rsidRPr="00E03B2E">
          <w:rPr>
            <w:rStyle w:val="Hyperlink"/>
          </w:rPr>
          <w:t xml:space="preserve"> (Oxford World's Classics)</w:t>
        </w:r>
      </w:hyperlink>
      <w:r w:rsidR="00E03B2E">
        <w:t xml:space="preserve"> </w:t>
      </w:r>
      <w:r w:rsidR="002B6AD5">
        <w:rPr>
          <w:b/>
        </w:rPr>
        <w:br/>
      </w:r>
      <w:r w:rsidR="002B6AD5" w:rsidRPr="00A86B66">
        <w:t xml:space="preserve">Jean-Paul Sartre, </w:t>
      </w:r>
      <w:hyperlink r:id="rId14" w:history="1">
        <w:r w:rsidR="002B6AD5" w:rsidRPr="00D15C11">
          <w:rPr>
            <w:rStyle w:val="Hyperlink"/>
          </w:rPr>
          <w:t>No Exit</w:t>
        </w:r>
      </w:hyperlink>
      <w:r w:rsidR="00A86B66">
        <w:rPr>
          <w:b/>
        </w:rPr>
        <w:t xml:space="preserve"> </w:t>
      </w:r>
      <w:r w:rsidR="00E03B2E">
        <w:rPr>
          <w:b/>
        </w:rPr>
        <w:br/>
      </w:r>
      <w:proofErr w:type="spellStart"/>
      <w:r w:rsidR="00E03B2E">
        <w:t>Shõ</w:t>
      </w:r>
      <w:r w:rsidR="00E03B2E" w:rsidRPr="00E03B2E">
        <w:t>nagon</w:t>
      </w:r>
      <w:proofErr w:type="spellEnd"/>
      <w:r w:rsidR="00E03B2E" w:rsidRPr="00E03B2E">
        <w:t xml:space="preserve">, </w:t>
      </w:r>
      <w:proofErr w:type="spellStart"/>
      <w:r w:rsidR="00E03B2E" w:rsidRPr="00E03B2E">
        <w:t>Sei</w:t>
      </w:r>
      <w:proofErr w:type="spellEnd"/>
      <w:r w:rsidR="00E03B2E" w:rsidRPr="00E03B2E">
        <w:t xml:space="preserve">, </w:t>
      </w:r>
      <w:hyperlink r:id="rId15" w:history="1">
        <w:r w:rsidR="00E03B2E" w:rsidRPr="00E03B2E">
          <w:rPr>
            <w:rStyle w:val="Hyperlink"/>
          </w:rPr>
          <w:t>The Pillow Book</w:t>
        </w:r>
      </w:hyperlink>
      <w:r w:rsidR="002C1BD3">
        <w:rPr>
          <w:b/>
        </w:rPr>
        <w:br/>
      </w:r>
      <w:r w:rsidR="00A86B66">
        <w:t xml:space="preserve">Dennis J. </w:t>
      </w:r>
      <w:proofErr w:type="spellStart"/>
      <w:r w:rsidR="00A86B66">
        <w:t>Sporre</w:t>
      </w:r>
      <w:proofErr w:type="spellEnd"/>
      <w:r w:rsidR="00A86B66">
        <w:t xml:space="preserve">, </w:t>
      </w:r>
      <w:hyperlink r:id="rId16" w:history="1">
        <w:r w:rsidR="00A86B66">
          <w:rPr>
            <w:rStyle w:val="Hyperlink"/>
            <w:b/>
          </w:rPr>
          <w:t>Perceiving the Arts: An Introduction to the Humanities, 11/E</w:t>
        </w:r>
      </w:hyperlink>
      <w:r w:rsidR="002C1BD3">
        <w:rPr>
          <w:rStyle w:val="Hyperlink"/>
          <w:b/>
        </w:rPr>
        <w:br/>
      </w:r>
      <w:r w:rsidR="00A86B66" w:rsidRPr="00A86B66">
        <w:t>Sophocles,</w:t>
      </w:r>
      <w:r w:rsidR="00A86B66">
        <w:rPr>
          <w:b/>
        </w:rPr>
        <w:t xml:space="preserve"> </w:t>
      </w:r>
      <w:hyperlink r:id="rId17" w:history="1">
        <w:r w:rsidR="00A86B66" w:rsidRPr="00A86B66">
          <w:rPr>
            <w:rStyle w:val="Hyperlink"/>
          </w:rPr>
          <w:t>Oedipus the King</w:t>
        </w:r>
      </w:hyperlink>
      <w:r w:rsidR="00A86B66">
        <w:rPr>
          <w:b/>
        </w:rPr>
        <w:br/>
      </w:r>
      <w:r w:rsidR="00A86B66">
        <w:rPr>
          <w:b/>
        </w:rPr>
        <w:br/>
      </w:r>
      <w:r w:rsidR="00640CC5" w:rsidRPr="00640CC5">
        <w:rPr>
          <w:b/>
        </w:rPr>
        <w:t>Library Reserves:</w:t>
      </w:r>
      <w:r w:rsidR="00640CC5">
        <w:t xml:space="preserve"> key ancillary sources for writing the final essay (on German Romanticism and Heian Japanese arts) will be available on reserve in the library. </w:t>
      </w:r>
    </w:p>
    <w:p w:rsidR="00DB10B0" w:rsidRDefault="00DB10B0" w:rsidP="00DB10B0">
      <w:r>
        <w:rPr>
          <w:b/>
          <w:bCs/>
        </w:rPr>
        <w:t>Late Work and Make-up Policy:</w:t>
      </w:r>
      <w:r>
        <w:t xml:space="preserve"> Unexcused late work will be downgraded in accordance with the degree of lateness at the professor’s discretion. Excused late work (supported by a doctor’s note or other appropriate documentation) must be made up at the earliest possible opportunity after the due date; it is the student’s responsibility to arrange a schedule for completion of work with the professor and to finish the work accordingly. </w:t>
      </w:r>
    </w:p>
    <w:p w:rsidR="00DB10B0" w:rsidRDefault="00DB10B0" w:rsidP="00DB10B0">
      <w:pPr>
        <w:rPr>
          <w:sz w:val="20"/>
        </w:rPr>
      </w:pPr>
      <w:r>
        <w:rPr>
          <w:b/>
        </w:rPr>
        <w:t xml:space="preserve">Students enrolled in this course agree to abide by the </w:t>
      </w:r>
      <w:hyperlink r:id="rId18" w:history="1">
        <w:r>
          <w:rPr>
            <w:rStyle w:val="Hyperlink"/>
            <w:b/>
          </w:rPr>
          <w:t xml:space="preserve">Honors College Honor Code </w:t>
        </w:r>
      </w:hyperlink>
      <w:r>
        <w:t xml:space="preserve">and the </w:t>
      </w:r>
      <w:hyperlink r:id="rId19" w:history="1">
        <w:r>
          <w:rPr>
            <w:rStyle w:val="Hyperlink"/>
            <w:b/>
          </w:rPr>
          <w:t>FAU Code of Academic Integrity</w:t>
        </w:r>
      </w:hyperlink>
      <w:r>
        <w:rPr>
          <w:b/>
        </w:rPr>
        <w:t>:</w:t>
      </w:r>
      <w:r>
        <w:t xml:space="preserve"> please review these documents. </w:t>
      </w:r>
    </w:p>
    <w:p w:rsidR="00DB10B0" w:rsidRDefault="00DB10B0" w:rsidP="00DB10B0">
      <w:pPr>
        <w:rPr>
          <w:szCs w:val="20"/>
        </w:rPr>
      </w:pPr>
      <w:r>
        <w:rPr>
          <w:b/>
          <w:bCs/>
        </w:rPr>
        <w:t>Classroom Etiquette:</w:t>
      </w:r>
      <w:r>
        <w:t xml:space="preserve"> Students in Honors College classrooms are to maintain an atmosphere of cordiality and collegiality. Each of you should feel free to raise questions, comment on issues under consideration, and join in a group conversation. Each person is expected both to speak her or his mind freely and to listen to the views of others politely. Please keep in mind that ideas are open to debate but that personal criticisms of individuals (ad hominem arguments) are bad etiquette as well as poor logic. Let’s maintain an open democratic culture here with respect for everyone’s opinions.</w:t>
      </w:r>
    </w:p>
    <w:p w:rsidR="00DB10B0" w:rsidRDefault="00DB10B0" w:rsidP="00DB10B0">
      <w:r>
        <w:rPr>
          <w:b/>
        </w:rPr>
        <w:t xml:space="preserve">Students with Disabilities: </w:t>
      </w:r>
      <w:r>
        <w:rPr>
          <w:i/>
          <w:iCs/>
        </w:rPr>
        <w:t xml:space="preserve">In compliance with the Americans with Disabilities Act(ADA), students who require reasonable accommodations due to a disability to properly execute coursework must register with the Office for Students with Disabilities (OSD) -- in Boca Raton, SU 133 (561-297-3880); in Davie, </w:t>
      </w:r>
      <w:r>
        <w:rPr>
          <w:i/>
          <w:iCs/>
        </w:rPr>
        <w:lastRenderedPageBreak/>
        <w:t>LA240 (954-236-1222); in Jupiter, SR 110 (561-799-8010); or at the Treasure Coast, CO 117 (772-873-3441) – and follow all OSD procedures.</w:t>
      </w:r>
    </w:p>
    <w:p w:rsidR="00DB10B0" w:rsidRDefault="00DB10B0" w:rsidP="00DB10B0">
      <w:pPr>
        <w:ind w:left="360"/>
        <w:rPr>
          <w:sz w:val="24"/>
          <w:szCs w:val="24"/>
        </w:rPr>
      </w:pPr>
    </w:p>
    <w:p w:rsidR="00A964F2" w:rsidRPr="004E0028" w:rsidRDefault="004E0028" w:rsidP="004E0028">
      <w:pPr>
        <w:jc w:val="center"/>
        <w:rPr>
          <w:b/>
        </w:rPr>
      </w:pPr>
      <w:r w:rsidRPr="004E0028">
        <w:rPr>
          <w:b/>
        </w:rPr>
        <w:t>Assignments</w:t>
      </w:r>
    </w:p>
    <w:p w:rsidR="00546442" w:rsidRDefault="004E0028" w:rsidP="00D558EC">
      <w:r w:rsidRPr="00546442">
        <w:rPr>
          <w:b/>
        </w:rPr>
        <w:t>Week 1</w:t>
      </w:r>
      <w:r w:rsidR="00546442">
        <w:br/>
        <w:t xml:space="preserve">T: What are the Arts and How do we Respond to and </w:t>
      </w:r>
      <w:proofErr w:type="gramStart"/>
      <w:r w:rsidR="00546442">
        <w:t>Evaluate</w:t>
      </w:r>
      <w:proofErr w:type="gramEnd"/>
      <w:r w:rsidR="00546442">
        <w:t xml:space="preserve"> them? </w:t>
      </w:r>
      <w:proofErr w:type="spellStart"/>
      <w:r w:rsidR="00546442" w:rsidRPr="00DD7EA8">
        <w:rPr>
          <w:b/>
        </w:rPr>
        <w:t>Sporre</w:t>
      </w:r>
      <w:proofErr w:type="spellEnd"/>
      <w:r w:rsidR="00546442" w:rsidRPr="00DD7EA8">
        <w:rPr>
          <w:b/>
        </w:rPr>
        <w:t xml:space="preserve">, </w:t>
      </w:r>
      <w:proofErr w:type="spellStart"/>
      <w:r w:rsidR="00546442" w:rsidRPr="00DD7EA8">
        <w:rPr>
          <w:b/>
        </w:rPr>
        <w:t>ch</w:t>
      </w:r>
      <w:proofErr w:type="spellEnd"/>
      <w:r w:rsidR="00546442" w:rsidRPr="00DD7EA8">
        <w:rPr>
          <w:b/>
        </w:rPr>
        <w:t>. 1</w:t>
      </w:r>
      <w:r w:rsidR="00546442">
        <w:br/>
        <w:t xml:space="preserve">R: Lecture, discussion, study of examples. </w:t>
      </w:r>
    </w:p>
    <w:p w:rsidR="00546442" w:rsidRDefault="004E0028" w:rsidP="00D558EC">
      <w:r w:rsidRPr="00546442">
        <w:rPr>
          <w:b/>
        </w:rPr>
        <w:t>Week 2</w:t>
      </w:r>
      <w:r w:rsidR="00546442">
        <w:br/>
        <w:t xml:space="preserve">T: Elements of the Visual Arts: Drawing, Painting, Printmaking and Photography: </w:t>
      </w:r>
      <w:r w:rsidR="00546442" w:rsidRPr="00DD7EA8">
        <w:rPr>
          <w:b/>
        </w:rPr>
        <w:t>Sporre, Ch. 2.</w:t>
      </w:r>
      <w:r w:rsidR="00546442" w:rsidRPr="00DD7EA8">
        <w:br/>
      </w:r>
      <w:r w:rsidR="00546442">
        <w:t>R: Study of Examples</w:t>
      </w:r>
      <w:r w:rsidR="005E61B4">
        <w:t xml:space="preserve">: line, color (hue, value, </w:t>
      </w:r>
      <w:proofErr w:type="gramStart"/>
      <w:r w:rsidR="005E61B4">
        <w:t>intensity</w:t>
      </w:r>
      <w:proofErr w:type="gramEnd"/>
      <w:r w:rsidR="005E61B4">
        <w:t xml:space="preserve">), texture, perspective, medium. </w:t>
      </w:r>
    </w:p>
    <w:p w:rsidR="00546442" w:rsidRDefault="004E0028" w:rsidP="00D558EC">
      <w:r w:rsidRPr="00546442">
        <w:rPr>
          <w:b/>
        </w:rPr>
        <w:t>Week 3</w:t>
      </w:r>
      <w:r w:rsidR="00546442">
        <w:br/>
        <w:t>T: Elements of the Visual Arts Drawing, Painting, Printmaking and Photography: detailed study of examples.</w:t>
      </w:r>
      <w:r w:rsidR="00546442">
        <w:br/>
        <w:t xml:space="preserve">R: </w:t>
      </w:r>
      <w:r w:rsidR="00546442" w:rsidRPr="00717939">
        <w:rPr>
          <w:b/>
        </w:rPr>
        <w:t>Critical Essay 1 Due</w:t>
      </w:r>
      <w:r w:rsidR="00546442">
        <w:t xml:space="preserve">: Provide a detailed visual analysis and critical interpretation of a painting, drawing, print, or photograph. </w:t>
      </w:r>
    </w:p>
    <w:p w:rsidR="004E0028" w:rsidRDefault="00546442" w:rsidP="00D558EC">
      <w:r>
        <w:rPr>
          <w:b/>
        </w:rPr>
        <w:t>Week 4</w:t>
      </w:r>
      <w:r>
        <w:br/>
        <w:t>T:</w:t>
      </w:r>
      <w:r w:rsidR="006101A7">
        <w:t xml:space="preserve"> Elements of Sculpture: Thinking critically about tectonic forms: </w:t>
      </w:r>
      <w:r w:rsidR="006101A7" w:rsidRPr="00DD7EA8">
        <w:rPr>
          <w:b/>
        </w:rPr>
        <w:t>Sporre, Ch. 3</w:t>
      </w:r>
      <w:r w:rsidRPr="00DD7EA8">
        <w:br/>
      </w:r>
      <w:r>
        <w:t xml:space="preserve">R:  </w:t>
      </w:r>
      <w:r w:rsidR="006101A7">
        <w:t xml:space="preserve">Elements of Sculpture: Detailed study of examples. </w:t>
      </w:r>
    </w:p>
    <w:p w:rsidR="006101A7" w:rsidRDefault="006101A7" w:rsidP="00D558EC">
      <w:r>
        <w:rPr>
          <w:b/>
        </w:rPr>
        <w:t>Wee</w:t>
      </w:r>
      <w:r w:rsidR="00DD7EA8">
        <w:rPr>
          <w:b/>
        </w:rPr>
        <w:t>k 5</w:t>
      </w:r>
      <w:r>
        <w:rPr>
          <w:b/>
        </w:rPr>
        <w:t xml:space="preserve"> </w:t>
      </w:r>
      <w:r>
        <w:rPr>
          <w:b/>
        </w:rPr>
        <w:br/>
      </w:r>
      <w:r>
        <w:t xml:space="preserve">T: Elements of Architecture: Thinking critically about three-dimensional habitable forms and spaces: </w:t>
      </w:r>
      <w:r w:rsidRPr="00DD7EA8">
        <w:rPr>
          <w:b/>
        </w:rPr>
        <w:t>Sporre, Ch. 4</w:t>
      </w:r>
      <w:r>
        <w:br/>
        <w:t xml:space="preserve">R: </w:t>
      </w:r>
      <w:r w:rsidR="00D6234E">
        <w:t xml:space="preserve">Elements of Sculpture: Detailed study of examples: </w:t>
      </w:r>
    </w:p>
    <w:p w:rsidR="00D6234E" w:rsidRDefault="00D6234E" w:rsidP="00D558EC">
      <w:pPr>
        <w:rPr>
          <w:b/>
        </w:rPr>
      </w:pPr>
      <w:r w:rsidRPr="00D6234E">
        <w:rPr>
          <w:b/>
        </w:rPr>
        <w:t>Week 6</w:t>
      </w:r>
      <w:proofErr w:type="gramStart"/>
      <w:r w:rsidRPr="00D6234E">
        <w:rPr>
          <w:b/>
        </w:rPr>
        <w:t>:</w:t>
      </w:r>
      <w:proofErr w:type="gramEnd"/>
      <w:r>
        <w:rPr>
          <w:b/>
        </w:rPr>
        <w:br/>
      </w:r>
      <w:r>
        <w:t xml:space="preserve">T: </w:t>
      </w:r>
      <w:r w:rsidR="00717939">
        <w:rPr>
          <w:b/>
        </w:rPr>
        <w:t xml:space="preserve">Critical Essay 2 Due: </w:t>
      </w:r>
      <w:r w:rsidR="0031276E">
        <w:t xml:space="preserve">how critically to discern, evaluate, and re-imagine our architectural ecology.   </w:t>
      </w:r>
      <w:r w:rsidR="00DD7EA8">
        <w:br/>
        <w:t xml:space="preserve">R: </w:t>
      </w:r>
      <w:r w:rsidR="00DD7EA8" w:rsidRPr="00DD7EA8">
        <w:rPr>
          <w:b/>
        </w:rPr>
        <w:t>Discussion of essays.</w:t>
      </w:r>
    </w:p>
    <w:p w:rsidR="00DD7EA8" w:rsidRDefault="00DD7EA8" w:rsidP="00D558EC">
      <w:r>
        <w:rPr>
          <w:b/>
        </w:rPr>
        <w:t>Week 7</w:t>
      </w:r>
      <w:r>
        <w:rPr>
          <w:b/>
        </w:rPr>
        <w:br/>
      </w:r>
      <w:r>
        <w:t xml:space="preserve">T: Elements of Music: </w:t>
      </w:r>
      <w:r w:rsidR="005E61B4">
        <w:t>melody, harmony, rhythm, timbre, texture, structure</w:t>
      </w:r>
      <w:proofErr w:type="gramStart"/>
      <w:r w:rsidR="005E61B4">
        <w:t>:</w:t>
      </w:r>
      <w:proofErr w:type="gramEnd"/>
      <w:r>
        <w:br/>
        <w:t>R:</w:t>
      </w:r>
      <w:r>
        <w:rPr>
          <w:b/>
        </w:rPr>
        <w:t xml:space="preserve"> </w:t>
      </w:r>
      <w:r w:rsidR="000962E2">
        <w:t xml:space="preserve">Study of Examples: monophony, polyphony, homophony, classical, sonata, orchestral sonata; theme and variation in atonal music and jazz. </w:t>
      </w:r>
    </w:p>
    <w:p w:rsidR="00BD6F52" w:rsidRDefault="009C01A6" w:rsidP="00D558EC">
      <w:r>
        <w:rPr>
          <w:b/>
        </w:rPr>
        <w:t>Week 8</w:t>
      </w:r>
      <w:r w:rsidR="000962E2">
        <w:rPr>
          <w:b/>
        </w:rPr>
        <w:br/>
      </w:r>
      <w:r w:rsidR="000962E2">
        <w:t>T</w:t>
      </w:r>
      <w:proofErr w:type="gramStart"/>
      <w:r w:rsidR="000962E2">
        <w:t>:</w:t>
      </w:r>
      <w:r>
        <w:t>Elements</w:t>
      </w:r>
      <w:proofErr w:type="gramEnd"/>
      <w:r>
        <w:t xml:space="preserve"> of Literature: plot, character, diction, figures of speech (metaphor, simile, metonymy), elements of sound (rhyme, rhythm, alliteration, consonance, assonance).</w:t>
      </w:r>
      <w:r w:rsidR="000962E2">
        <w:br/>
        <w:t xml:space="preserve">R: </w:t>
      </w:r>
      <w:r>
        <w:t xml:space="preserve">Study of Examples: prose and poetry: short story, “The Guest” by Albert Camus; poem, Sappho 31 (several translations) and a lost fragment. </w:t>
      </w:r>
      <w:r>
        <w:br/>
      </w:r>
      <w:r>
        <w:br/>
      </w:r>
      <w:r w:rsidRPr="009C01A6">
        <w:rPr>
          <w:b/>
        </w:rPr>
        <w:t>Week 9</w:t>
      </w:r>
      <w:r>
        <w:rPr>
          <w:b/>
        </w:rPr>
        <w:br/>
      </w:r>
      <w:r>
        <w:t>T: Literature &amp; Music: Beethoven’s String Quartet in A Minor (Op. 132), “</w:t>
      </w:r>
      <w:proofErr w:type="spellStart"/>
      <w:r>
        <w:t>Heiliger</w:t>
      </w:r>
      <w:proofErr w:type="spellEnd"/>
      <w:r>
        <w:t xml:space="preserve"> </w:t>
      </w:r>
      <w:proofErr w:type="spellStart"/>
      <w:r>
        <w:t>Dan</w:t>
      </w:r>
      <w:r w:rsidR="00990B27">
        <w:t>k</w:t>
      </w:r>
      <w:r>
        <w:t>gesang</w:t>
      </w:r>
      <w:proofErr w:type="spellEnd"/>
      <w:r>
        <w:t xml:space="preserve">” (“Holy Song of Thanks”) and </w:t>
      </w:r>
      <w:r w:rsidR="00BD6F52">
        <w:t xml:space="preserve">Aldous Huxley’s </w:t>
      </w:r>
      <w:r w:rsidR="00BD6F52">
        <w:rPr>
          <w:i/>
        </w:rPr>
        <w:t xml:space="preserve">Point, Counter Point, </w:t>
      </w:r>
      <w:proofErr w:type="spellStart"/>
      <w:r w:rsidR="00BD6F52">
        <w:t>ch</w:t>
      </w:r>
      <w:proofErr w:type="spellEnd"/>
      <w:r w:rsidR="00BD6F52">
        <w:t xml:space="preserve">. 37. </w:t>
      </w:r>
      <w:r w:rsidR="00BD6F52">
        <w:br/>
        <w:t xml:space="preserve">R: Inter-arts criticism and interpretation. </w:t>
      </w:r>
    </w:p>
    <w:p w:rsidR="00DE1940" w:rsidRDefault="00BD6F52" w:rsidP="00DE1940">
      <w:r w:rsidRPr="00BD6F52">
        <w:rPr>
          <w:b/>
        </w:rPr>
        <w:t>Week 10</w:t>
      </w:r>
      <w:r>
        <w:rPr>
          <w:b/>
        </w:rPr>
        <w:br/>
      </w:r>
      <w:r>
        <w:t xml:space="preserve">T: </w:t>
      </w:r>
      <w:r w:rsidR="00DE1940">
        <w:rPr>
          <w:b/>
        </w:rPr>
        <w:t xml:space="preserve">Critical Essay 3 Due: </w:t>
      </w:r>
      <w:r w:rsidR="00DE1940">
        <w:t xml:space="preserve">How do Beethoven’s Quartet and Huxley’s account of Maurice Spandrell’s </w:t>
      </w:r>
      <w:r w:rsidR="00DE1940">
        <w:lastRenderedPageBreak/>
        <w:t xml:space="preserve">final hours convey a similar theme in musical and literary forms? </w:t>
      </w:r>
      <w:r w:rsidR="00DE1940">
        <w:br/>
        <w:t xml:space="preserve">R: Discussion of essays. </w:t>
      </w:r>
    </w:p>
    <w:p w:rsidR="000962E2" w:rsidRDefault="00DE1940" w:rsidP="00D558EC">
      <w:r w:rsidRPr="00DE1940">
        <w:rPr>
          <w:b/>
        </w:rPr>
        <w:t>Week 11</w:t>
      </w:r>
      <w:r>
        <w:br/>
        <w:t>T</w:t>
      </w:r>
      <w:r w:rsidR="00BD6F52">
        <w:t xml:space="preserve">: </w:t>
      </w:r>
      <w:r>
        <w:t xml:space="preserve">Elements of Theatre: </w:t>
      </w:r>
      <w:proofErr w:type="spellStart"/>
      <w:r>
        <w:t>Sporre</w:t>
      </w:r>
      <w:proofErr w:type="spellEnd"/>
      <w:r>
        <w:t xml:space="preserve">, </w:t>
      </w:r>
      <w:proofErr w:type="spellStart"/>
      <w:proofErr w:type="gramStart"/>
      <w:r>
        <w:t>ch</w:t>
      </w:r>
      <w:proofErr w:type="spellEnd"/>
      <w:r>
        <w:t xml:space="preserve"> .</w:t>
      </w:r>
      <w:proofErr w:type="gramEnd"/>
      <w:r>
        <w:t xml:space="preserve"> 7</w:t>
      </w:r>
      <w:r>
        <w:br/>
      </w:r>
      <w:r w:rsidRPr="00DE1940">
        <w:t>R:</w:t>
      </w:r>
      <w:r>
        <w:t xml:space="preserve"> A classical example: Sophocles’ </w:t>
      </w:r>
      <w:hyperlink r:id="rId20" w:history="1">
        <w:r w:rsidRPr="00481233">
          <w:rPr>
            <w:rStyle w:val="Hyperlink"/>
            <w:i/>
          </w:rPr>
          <w:t>Oedipus the King</w:t>
        </w:r>
      </w:hyperlink>
      <w:r>
        <w:rPr>
          <w:i/>
        </w:rPr>
        <w:t xml:space="preserve">; </w:t>
      </w:r>
      <w:r>
        <w:t xml:space="preserve">Aristotle on the elements of Tragedy (selections from the </w:t>
      </w:r>
      <w:hyperlink r:id="rId21" w:history="1">
        <w:r w:rsidRPr="00DE1940">
          <w:rPr>
            <w:rStyle w:val="Hyperlink"/>
            <w:i/>
          </w:rPr>
          <w:t>Poetics</w:t>
        </w:r>
      </w:hyperlink>
      <w:r w:rsidRPr="00DE1940">
        <w:rPr>
          <w:i/>
        </w:rPr>
        <w:t>)</w:t>
      </w:r>
      <w:r>
        <w:br/>
      </w:r>
      <w:r>
        <w:br/>
      </w:r>
      <w:r w:rsidRPr="00DE1940">
        <w:rPr>
          <w:b/>
        </w:rPr>
        <w:t>Week 12:</w:t>
      </w:r>
      <w:r>
        <w:t xml:space="preserve"> </w:t>
      </w:r>
      <w:r w:rsidR="009120FD">
        <w:br/>
        <w:t xml:space="preserve">T: </w:t>
      </w:r>
      <w:r w:rsidR="00C1341D">
        <w:t>Elements of Film</w:t>
      </w:r>
      <w:r w:rsidR="009120FD">
        <w:t xml:space="preserve">: </w:t>
      </w:r>
      <w:proofErr w:type="spellStart"/>
      <w:r w:rsidR="00C1341D">
        <w:t>Sporre</w:t>
      </w:r>
      <w:proofErr w:type="spellEnd"/>
      <w:r w:rsidR="00C1341D">
        <w:t xml:space="preserve">, </w:t>
      </w:r>
      <w:proofErr w:type="spellStart"/>
      <w:r w:rsidR="00C1341D">
        <w:t>ch</w:t>
      </w:r>
      <w:proofErr w:type="spellEnd"/>
      <w:r w:rsidR="00C1341D">
        <w:t>. 8</w:t>
      </w:r>
      <w:r w:rsidR="009120FD">
        <w:br/>
        <w:t xml:space="preserve">R: </w:t>
      </w:r>
      <w:r w:rsidR="00C1341D">
        <w:t xml:space="preserve">Inter-arts criticism: </w:t>
      </w:r>
      <w:r w:rsidR="00562281">
        <w:t xml:space="preserve">Literature, </w:t>
      </w:r>
      <w:r w:rsidR="00C1341D">
        <w:t>Theatre</w:t>
      </w:r>
      <w:r w:rsidR="00CB3C5E">
        <w:t xml:space="preserve"> &amp; Film make Philosophy:</w:t>
      </w:r>
      <w:r w:rsidR="00C1341D">
        <w:t xml:space="preserve"> </w:t>
      </w:r>
      <w:r w:rsidR="00562281">
        <w:t xml:space="preserve">Jean-Paul Sartre’s </w:t>
      </w:r>
      <w:hyperlink r:id="rId22" w:history="1">
        <w:r w:rsidR="00562281" w:rsidRPr="00CB3C5E">
          <w:rPr>
            <w:rStyle w:val="Hyperlink"/>
            <w:i/>
          </w:rPr>
          <w:t>No Exit</w:t>
        </w:r>
        <w:r w:rsidR="00CB3C5E" w:rsidRPr="00CB3C5E">
          <w:rPr>
            <w:rStyle w:val="Hyperlink"/>
            <w:i/>
          </w:rPr>
          <w:t xml:space="preserve"> (Huis Clos)</w:t>
        </w:r>
        <w:r w:rsidR="00562281" w:rsidRPr="00CB3C5E">
          <w:rPr>
            <w:rStyle w:val="Hyperlink"/>
            <w:i/>
          </w:rPr>
          <w:t>:</w:t>
        </w:r>
      </w:hyperlink>
      <w:r w:rsidR="00562281">
        <w:rPr>
          <w:i/>
        </w:rPr>
        <w:t xml:space="preserve"> </w:t>
      </w:r>
      <w:r w:rsidR="00CB3C5E">
        <w:t xml:space="preserve">(Harold Pinter’s rendering in English): </w:t>
      </w:r>
      <w:r w:rsidR="009C01A6" w:rsidRPr="00BD6F52">
        <w:rPr>
          <w:b/>
        </w:rPr>
        <w:br/>
      </w:r>
      <w:r w:rsidR="0043541F">
        <w:br/>
      </w:r>
      <w:r w:rsidR="0043541F" w:rsidRPr="0043541F">
        <w:rPr>
          <w:b/>
        </w:rPr>
        <w:t>Week 13</w:t>
      </w:r>
      <w:r w:rsidR="0043541F">
        <w:rPr>
          <w:b/>
        </w:rPr>
        <w:br/>
      </w:r>
      <w:r w:rsidR="0043541F">
        <w:t xml:space="preserve">T: Discussion of </w:t>
      </w:r>
      <w:r w:rsidR="002C1BD3">
        <w:rPr>
          <w:i/>
        </w:rPr>
        <w:t xml:space="preserve">No Exit: </w:t>
      </w:r>
      <w:r w:rsidR="002C1BD3">
        <w:rPr>
          <w:i/>
        </w:rPr>
        <w:br/>
      </w:r>
      <w:r w:rsidR="0043541F">
        <w:t xml:space="preserve">R: </w:t>
      </w:r>
      <w:r w:rsidR="002C1BD3" w:rsidRPr="002C1BD3">
        <w:rPr>
          <w:b/>
        </w:rPr>
        <w:t>Critical Essay</w:t>
      </w:r>
      <w:r w:rsidR="00333E6D">
        <w:rPr>
          <w:b/>
        </w:rPr>
        <w:t xml:space="preserve"> 4</w:t>
      </w:r>
      <w:r w:rsidR="002C1BD3" w:rsidRPr="002C1BD3">
        <w:rPr>
          <w:b/>
        </w:rPr>
        <w:t xml:space="preserve"> Due:</w:t>
      </w:r>
      <w:r w:rsidR="002C1BD3">
        <w:t xml:space="preserve"> Philosophy in Multiple Artistic Forms. </w:t>
      </w:r>
    </w:p>
    <w:p w:rsidR="009C1CB8" w:rsidRDefault="009C1CB8" w:rsidP="00D558EC">
      <w:pPr>
        <w:rPr>
          <w:b/>
        </w:rPr>
      </w:pPr>
      <w:r>
        <w:rPr>
          <w:b/>
        </w:rPr>
        <w:t xml:space="preserve">Week 14: </w:t>
      </w:r>
      <w:r>
        <w:rPr>
          <w:b/>
        </w:rPr>
        <w:br/>
      </w:r>
      <w:r w:rsidRPr="009C1CB8">
        <w:t>T:</w:t>
      </w:r>
      <w:r>
        <w:t xml:space="preserve"> </w:t>
      </w:r>
      <w:r w:rsidR="00D10E87">
        <w:t xml:space="preserve">Case </w:t>
      </w:r>
      <w:r>
        <w:t xml:space="preserve">Study </w:t>
      </w:r>
      <w:r w:rsidR="00D10E87">
        <w:t xml:space="preserve">1 </w:t>
      </w:r>
      <w:r>
        <w:t>of Inter-arts criticism in historical cont</w:t>
      </w:r>
      <w:r w:rsidR="0030117C">
        <w:t xml:space="preserve">ext: Goethe’s </w:t>
      </w:r>
      <w:hyperlink r:id="rId23" w:history="1">
        <w:r w:rsidR="0030117C" w:rsidRPr="00A964F2">
          <w:rPr>
            <w:rStyle w:val="Hyperlink"/>
          </w:rPr>
          <w:t>The Sorrows of Young Werther</w:t>
        </w:r>
        <w:r w:rsidR="0030117C">
          <w:rPr>
            <w:rStyle w:val="Hyperlink"/>
          </w:rPr>
          <w:t>,</w:t>
        </w:r>
      </w:hyperlink>
      <w:r w:rsidR="00D57475">
        <w:t xml:space="preserve"> Ludwig van Beethoven’s </w:t>
      </w:r>
      <w:hyperlink r:id="rId24" w:history="1">
        <w:r w:rsidR="0030117C" w:rsidRPr="00331793">
          <w:rPr>
            <w:rStyle w:val="Hyperlink"/>
          </w:rPr>
          <w:t>Piano Sonata No. 8 in C minor, Op. 13 (</w:t>
        </w:r>
        <w:r w:rsidR="0030117C" w:rsidRPr="00331793">
          <w:rPr>
            <w:rStyle w:val="Hyperlink"/>
            <w:i/>
          </w:rPr>
          <w:t>Pathétique</w:t>
        </w:r>
        <w:r w:rsidR="0030117C" w:rsidRPr="00331793">
          <w:rPr>
            <w:rStyle w:val="Hyperlink"/>
          </w:rPr>
          <w:t>, 1798)</w:t>
        </w:r>
      </w:hyperlink>
      <w:r w:rsidR="0030117C">
        <w:t xml:space="preserve">,  and Caspar David Friedrich’s </w:t>
      </w:r>
      <w:hyperlink r:id="rId25" w:history="1">
        <w:r w:rsidR="0030117C" w:rsidRPr="00A964F2">
          <w:rPr>
            <w:rStyle w:val="Hyperlink"/>
          </w:rPr>
          <w:t>Man and Woman Contemplating the Moon c. 1824</w:t>
        </w:r>
      </w:hyperlink>
      <w:r w:rsidR="0030117C">
        <w:rPr>
          <w:rStyle w:val="Hyperlink"/>
        </w:rPr>
        <w:t xml:space="preserve"> </w:t>
      </w:r>
      <w:r>
        <w:rPr>
          <w:b/>
        </w:rPr>
        <w:br/>
      </w:r>
      <w:r w:rsidRPr="009C1CB8">
        <w:t>R:</w:t>
      </w:r>
      <w:r>
        <w:rPr>
          <w:b/>
        </w:rPr>
        <w:t xml:space="preserve"> </w:t>
      </w:r>
      <w:r w:rsidR="0030117C" w:rsidRPr="0030117C">
        <w:t>Discussion:</w:t>
      </w:r>
      <w:r w:rsidR="0030117C">
        <w:rPr>
          <w:b/>
        </w:rPr>
        <w:t xml:space="preserve"> </w:t>
      </w:r>
      <w:r w:rsidR="00C616EC">
        <w:t>Goethe, Beethoven, Friedrich</w:t>
      </w:r>
      <w:r w:rsidRPr="00D10E87">
        <w:t>.</w:t>
      </w:r>
      <w:r>
        <w:rPr>
          <w:b/>
        </w:rPr>
        <w:t xml:space="preserve"> </w:t>
      </w:r>
    </w:p>
    <w:p w:rsidR="00D10E87" w:rsidRDefault="00D10E87" w:rsidP="00D558EC">
      <w:pPr>
        <w:rPr>
          <w:b/>
        </w:rPr>
      </w:pPr>
      <w:r>
        <w:rPr>
          <w:b/>
        </w:rPr>
        <w:t xml:space="preserve">Week 15: </w:t>
      </w:r>
      <w:r>
        <w:rPr>
          <w:b/>
        </w:rPr>
        <w:br/>
      </w:r>
      <w:r w:rsidRPr="00D10E87">
        <w:t>T:</w:t>
      </w:r>
      <w:r>
        <w:t xml:space="preserve"> Case Study 2 of Inter-arts criticism in historical context: </w:t>
      </w:r>
      <w:hyperlink r:id="rId26" w:history="1">
        <w:r w:rsidR="0030117C" w:rsidRPr="00331793">
          <w:rPr>
            <w:rStyle w:val="Hyperlink"/>
          </w:rPr>
          <w:t>The Pillow Book</w:t>
        </w:r>
      </w:hyperlink>
      <w:r w:rsidR="0030117C">
        <w:t xml:space="preserve"> by </w:t>
      </w:r>
      <w:hyperlink r:id="rId27" w:tooltip="Sei Shōnagon" w:history="1">
        <w:proofErr w:type="spellStart"/>
        <w:r w:rsidR="0030117C">
          <w:rPr>
            <w:rStyle w:val="Hyperlink"/>
          </w:rPr>
          <w:t>Sei</w:t>
        </w:r>
        <w:proofErr w:type="spellEnd"/>
        <w:r w:rsidR="0030117C">
          <w:rPr>
            <w:rStyle w:val="Hyperlink"/>
          </w:rPr>
          <w:t xml:space="preserve"> </w:t>
        </w:r>
        <w:proofErr w:type="spellStart"/>
        <w:r w:rsidR="0030117C">
          <w:rPr>
            <w:rStyle w:val="Hyperlink"/>
          </w:rPr>
          <w:t>Shōnagon</w:t>
        </w:r>
        <w:proofErr w:type="spellEnd"/>
      </w:hyperlink>
      <w:r w:rsidR="0030117C">
        <w:rPr>
          <w:i/>
        </w:rPr>
        <w:t xml:space="preserve">, </w:t>
      </w:r>
      <w:hyperlink r:id="rId28" w:history="1">
        <w:proofErr w:type="spellStart"/>
        <w:r w:rsidR="0030117C" w:rsidRPr="007D3C71">
          <w:rPr>
            <w:rStyle w:val="Hyperlink"/>
          </w:rPr>
          <w:t>Genji</w:t>
        </w:r>
        <w:proofErr w:type="spellEnd"/>
        <w:r w:rsidR="0030117C" w:rsidRPr="007D3C71">
          <w:rPr>
            <w:rStyle w:val="Hyperlink"/>
          </w:rPr>
          <w:t xml:space="preserve"> </w:t>
        </w:r>
        <w:proofErr w:type="spellStart"/>
        <w:r w:rsidR="0030117C" w:rsidRPr="007D3C71">
          <w:rPr>
            <w:rStyle w:val="Hyperlink"/>
          </w:rPr>
          <w:t>Monogatari</w:t>
        </w:r>
        <w:proofErr w:type="spellEnd"/>
        <w:r w:rsidR="0030117C" w:rsidRPr="007D3C71">
          <w:rPr>
            <w:rStyle w:val="Hyperlink"/>
          </w:rPr>
          <w:t xml:space="preserve"> </w:t>
        </w:r>
        <w:proofErr w:type="spellStart"/>
        <w:r w:rsidR="0030117C" w:rsidRPr="007D3C71">
          <w:rPr>
            <w:rStyle w:val="Hyperlink"/>
          </w:rPr>
          <w:t>Emaki</w:t>
        </w:r>
        <w:proofErr w:type="spellEnd"/>
        <w:r w:rsidR="0030117C" w:rsidRPr="007D3C71">
          <w:rPr>
            <w:rStyle w:val="Hyperlink"/>
          </w:rPr>
          <w:t xml:space="preserve"> / Tale of </w:t>
        </w:r>
        <w:proofErr w:type="spellStart"/>
        <w:r w:rsidR="0030117C" w:rsidRPr="007D3C71">
          <w:rPr>
            <w:rStyle w:val="Hyperlink"/>
          </w:rPr>
          <w:t>Genji</w:t>
        </w:r>
        <w:proofErr w:type="spellEnd"/>
        <w:r w:rsidR="0030117C" w:rsidRPr="007D3C71">
          <w:rPr>
            <w:rStyle w:val="Hyperlink"/>
          </w:rPr>
          <w:t xml:space="preserve"> Hand Scroll</w:t>
        </w:r>
      </w:hyperlink>
      <w:r w:rsidR="0030117C">
        <w:rPr>
          <w:rStyle w:val="Hyperlink"/>
        </w:rPr>
        <w:t xml:space="preserve">, </w:t>
      </w:r>
      <w:hyperlink r:id="rId29" w:history="1">
        <w:r w:rsidR="0030117C">
          <w:rPr>
            <w:rStyle w:val="Hyperlink"/>
          </w:rPr>
          <w:t>Dance of "Maiko" [Half Geisha] Kyoto, Japan</w:t>
        </w:r>
      </w:hyperlink>
      <w:r w:rsidR="0030117C">
        <w:t xml:space="preserve"> (see </w:t>
      </w:r>
      <w:hyperlink r:id="rId30" w:history="1">
        <w:r w:rsidR="0030117C" w:rsidRPr="008F4E16">
          <w:rPr>
            <w:rStyle w:val="Hyperlink"/>
          </w:rPr>
          <w:t>Geisha</w:t>
        </w:r>
      </w:hyperlink>
      <w:r w:rsidR="0030117C">
        <w:t xml:space="preserve">) </w:t>
      </w:r>
      <w:r>
        <w:rPr>
          <w:b/>
        </w:rPr>
        <w:br/>
      </w:r>
      <w:r w:rsidRPr="00D10E87">
        <w:t>R:</w:t>
      </w:r>
      <w:r>
        <w:rPr>
          <w:b/>
        </w:rPr>
        <w:t xml:space="preserve"> </w:t>
      </w:r>
      <w:r w:rsidR="0030117C" w:rsidRPr="0030117C">
        <w:t>Discussion:</w:t>
      </w:r>
      <w:r w:rsidR="0030117C">
        <w:rPr>
          <w:b/>
        </w:rPr>
        <w:t xml:space="preserve"> </w:t>
      </w:r>
      <w:proofErr w:type="spellStart"/>
      <w:r w:rsidR="0030117C" w:rsidRPr="0030117C">
        <w:t>Shõnagon</w:t>
      </w:r>
      <w:proofErr w:type="spellEnd"/>
      <w:r w:rsidR="0030117C" w:rsidRPr="0030117C">
        <w:t xml:space="preserve">, </w:t>
      </w:r>
      <w:proofErr w:type="spellStart"/>
      <w:r w:rsidR="0030117C" w:rsidRPr="0030117C">
        <w:t>Gengi</w:t>
      </w:r>
      <w:proofErr w:type="spellEnd"/>
      <w:r w:rsidR="0030117C" w:rsidRPr="0030117C">
        <w:t>, Maiko</w:t>
      </w:r>
      <w:r w:rsidR="0030117C">
        <w:rPr>
          <w:b/>
        </w:rPr>
        <w:t xml:space="preserve"> </w:t>
      </w:r>
    </w:p>
    <w:p w:rsidR="0030117C" w:rsidRPr="009C1CB8" w:rsidRDefault="0030117C" w:rsidP="00D558EC">
      <w:pPr>
        <w:rPr>
          <w:b/>
        </w:rPr>
      </w:pPr>
      <w:r>
        <w:rPr>
          <w:b/>
        </w:rPr>
        <w:t xml:space="preserve">Week 16: Final Essay Due. Discussion of Papers. </w:t>
      </w:r>
    </w:p>
    <w:p w:rsidR="00CB3C5E" w:rsidRDefault="00CB3C5E" w:rsidP="00D558EC"/>
    <w:p w:rsidR="00CB3C5E" w:rsidRPr="00C1341D" w:rsidRDefault="00CB3C5E" w:rsidP="00D558EC"/>
    <w:p w:rsidR="00D558EC" w:rsidRPr="00D558EC" w:rsidRDefault="00D558EC" w:rsidP="00D558EC">
      <w:pPr>
        <w:jc w:val="center"/>
      </w:pPr>
    </w:p>
    <w:p w:rsidR="00D558EC" w:rsidRPr="00D558EC" w:rsidRDefault="00D558EC" w:rsidP="00D558EC">
      <w:pPr>
        <w:jc w:val="center"/>
      </w:pPr>
    </w:p>
    <w:sectPr w:rsidR="00D558EC" w:rsidRPr="00D558EC" w:rsidSect="00CC2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58EC"/>
    <w:rsid w:val="0006680C"/>
    <w:rsid w:val="000962E2"/>
    <w:rsid w:val="000F28FA"/>
    <w:rsid w:val="001D620C"/>
    <w:rsid w:val="001E0C51"/>
    <w:rsid w:val="001F38E2"/>
    <w:rsid w:val="00277D3D"/>
    <w:rsid w:val="002A207C"/>
    <w:rsid w:val="002A6659"/>
    <w:rsid w:val="002B6AD5"/>
    <w:rsid w:val="002C1BD3"/>
    <w:rsid w:val="0030117C"/>
    <w:rsid w:val="0031276E"/>
    <w:rsid w:val="00331793"/>
    <w:rsid w:val="00333E6D"/>
    <w:rsid w:val="003A5730"/>
    <w:rsid w:val="00406D44"/>
    <w:rsid w:val="00422926"/>
    <w:rsid w:val="0043541F"/>
    <w:rsid w:val="0044770D"/>
    <w:rsid w:val="00481233"/>
    <w:rsid w:val="004E0028"/>
    <w:rsid w:val="00506884"/>
    <w:rsid w:val="00546442"/>
    <w:rsid w:val="00562281"/>
    <w:rsid w:val="005C049D"/>
    <w:rsid w:val="005E61B4"/>
    <w:rsid w:val="006101A7"/>
    <w:rsid w:val="00640CC5"/>
    <w:rsid w:val="00664710"/>
    <w:rsid w:val="00717939"/>
    <w:rsid w:val="00747143"/>
    <w:rsid w:val="007C1A2D"/>
    <w:rsid w:val="007D3C71"/>
    <w:rsid w:val="008269BF"/>
    <w:rsid w:val="00861362"/>
    <w:rsid w:val="008A277F"/>
    <w:rsid w:val="008C338A"/>
    <w:rsid w:val="008E6250"/>
    <w:rsid w:val="008F4E16"/>
    <w:rsid w:val="00911D8B"/>
    <w:rsid w:val="009120FD"/>
    <w:rsid w:val="0092395F"/>
    <w:rsid w:val="00953851"/>
    <w:rsid w:val="00990B27"/>
    <w:rsid w:val="009C01A6"/>
    <w:rsid w:val="009C1CB8"/>
    <w:rsid w:val="00A86B66"/>
    <w:rsid w:val="00A964F2"/>
    <w:rsid w:val="00B861D4"/>
    <w:rsid w:val="00BD6F52"/>
    <w:rsid w:val="00C1341D"/>
    <w:rsid w:val="00C465E7"/>
    <w:rsid w:val="00C56E96"/>
    <w:rsid w:val="00C616EC"/>
    <w:rsid w:val="00C77C62"/>
    <w:rsid w:val="00CB3C5E"/>
    <w:rsid w:val="00CC2B75"/>
    <w:rsid w:val="00CE43E2"/>
    <w:rsid w:val="00D10E87"/>
    <w:rsid w:val="00D15C11"/>
    <w:rsid w:val="00D40E7E"/>
    <w:rsid w:val="00D428C7"/>
    <w:rsid w:val="00D52818"/>
    <w:rsid w:val="00D558EC"/>
    <w:rsid w:val="00D57475"/>
    <w:rsid w:val="00D6234E"/>
    <w:rsid w:val="00D966F2"/>
    <w:rsid w:val="00DB10B0"/>
    <w:rsid w:val="00DB1345"/>
    <w:rsid w:val="00DD7EA8"/>
    <w:rsid w:val="00DE1940"/>
    <w:rsid w:val="00E03B2E"/>
    <w:rsid w:val="00E64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4F2"/>
    <w:rPr>
      <w:color w:val="0563C1" w:themeColor="hyperlink"/>
      <w:u w:val="single"/>
    </w:rPr>
  </w:style>
  <w:style w:type="character" w:styleId="FollowedHyperlink">
    <w:name w:val="FollowedHyperlink"/>
    <w:basedOn w:val="DefaultParagraphFont"/>
    <w:uiPriority w:val="99"/>
    <w:semiHidden/>
    <w:unhideWhenUsed/>
    <w:rsid w:val="00D15C11"/>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i_Sh%C5%8Dnagon" TargetMode="External"/><Relationship Id="rId13" Type="http://schemas.openxmlformats.org/officeDocument/2006/relationships/hyperlink" Target="http://www.amazon.com/Sorrows-Werther-Oxford-Worlds-Classics/dp/0199583021/ref=sr_1_2?s=books&amp;ie=UTF8&amp;qid=1423344433&amp;sr=1-2&amp;keywords=sorrows+of+young+werther" TargetMode="External"/><Relationship Id="rId18" Type="http://schemas.openxmlformats.org/officeDocument/2006/relationships/hyperlink" Target="http://www.fau.edu/divdept/honcol/students/honorcode.html" TargetMode="External"/><Relationship Id="rId26" Type="http://schemas.openxmlformats.org/officeDocument/2006/relationships/hyperlink" Target="http://en.wikipedia.org/wiki/The_Pillow_Book" TargetMode="External"/><Relationship Id="rId3" Type="http://schemas.openxmlformats.org/officeDocument/2006/relationships/webSettings" Target="webSettings.xml"/><Relationship Id="rId21" Type="http://schemas.openxmlformats.org/officeDocument/2006/relationships/hyperlink" Target="http://classics.mit.edu/Aristotle/poetics.html" TargetMode="External"/><Relationship Id="rId7" Type="http://schemas.openxmlformats.org/officeDocument/2006/relationships/hyperlink" Target="http://en.wikipedia.org/wiki/The_Pillow_Book" TargetMode="External"/><Relationship Id="rId12" Type="http://schemas.openxmlformats.org/officeDocument/2006/relationships/hyperlink" Target="http://en.wikipedia.org/wiki/Geisha" TargetMode="External"/><Relationship Id="rId17" Type="http://schemas.openxmlformats.org/officeDocument/2006/relationships/hyperlink" Target="http://www.amazon.com/Oedipus-King-Sophocles/dp/0226768686/ref=sr_1_1?ie=UTF8&amp;qid=1423343471&amp;sr=8-1&amp;keywords=Oedipus+the+king" TargetMode="External"/><Relationship Id="rId25" Type="http://schemas.openxmlformats.org/officeDocument/2006/relationships/hyperlink" Target="http://www.caspardavidfriedrich.org/Man-and-Woman-Contemplating-the-Moon-c.-1824.html" TargetMode="External"/><Relationship Id="rId2" Type="http://schemas.openxmlformats.org/officeDocument/2006/relationships/settings" Target="settings.xml"/><Relationship Id="rId16" Type="http://schemas.openxmlformats.org/officeDocument/2006/relationships/hyperlink" Target="http://www.pearsonhighered.com/pearsonhigheredus/educator/product/products_detail.page?isbn=9780205995110&amp;forced_logout=forced_logged_out" TargetMode="External"/><Relationship Id="rId20" Type="http://schemas.openxmlformats.org/officeDocument/2006/relationships/hyperlink" Target="http://classics.mit.edu/Sophocles/oedipus.html" TargetMode="External"/><Relationship Id="rId29" Type="http://schemas.openxmlformats.org/officeDocument/2006/relationships/hyperlink" Target="https://www.youtube.com/watch?v=VTNdHCPfM9w" TargetMode="External"/><Relationship Id="rId1" Type="http://schemas.openxmlformats.org/officeDocument/2006/relationships/styles" Target="styles.xml"/><Relationship Id="rId6" Type="http://schemas.openxmlformats.org/officeDocument/2006/relationships/hyperlink" Target="http://www.caspardavidfriedrich.org/Man-and-Woman-Contemplating-the-Moon-c.-1824.html" TargetMode="External"/><Relationship Id="rId11" Type="http://schemas.openxmlformats.org/officeDocument/2006/relationships/hyperlink" Target="https://www.youtube.com/watch?v=VTNdHCPfM9w" TargetMode="External"/><Relationship Id="rId24" Type="http://schemas.openxmlformats.org/officeDocument/2006/relationships/hyperlink" Target="http://en.wikipedia.org/wiki/Piano_Sonata_No._8_(Beethoven)" TargetMode="External"/><Relationship Id="rId32" Type="http://schemas.openxmlformats.org/officeDocument/2006/relationships/theme" Target="theme/theme1.xml"/><Relationship Id="rId5" Type="http://schemas.openxmlformats.org/officeDocument/2006/relationships/hyperlink" Target="http://en.wikipedia.org/wiki/Piano_Sonata_No._8_(Beethoven)" TargetMode="External"/><Relationship Id="rId15" Type="http://schemas.openxmlformats.org/officeDocument/2006/relationships/hyperlink" Target="http://www.amazon.com/Pillow-Book-Penguin-Classics/dp/0140448063/ref=sr_1_1?s=books&amp;ie=UTF8&amp;qid=1423344234&amp;sr=1-1&amp;keywords=shonagon+pillow+book" TargetMode="External"/><Relationship Id="rId23" Type="http://schemas.openxmlformats.org/officeDocument/2006/relationships/hyperlink" Target="http://en.wikipedia.org/wiki/The_Sorrows_of_Young_Werther" TargetMode="External"/><Relationship Id="rId28" Type="http://schemas.openxmlformats.org/officeDocument/2006/relationships/hyperlink" Target="http://chnm.gmu.edu/wwh/modules/lesson2/lesson2.php?s=8" TargetMode="External"/><Relationship Id="rId10" Type="http://schemas.openxmlformats.org/officeDocument/2006/relationships/hyperlink" Target="http://chnm.gmu.edu/wwh/modules/lesson2/lesson2.php?s=8" TargetMode="External"/><Relationship Id="rId19" Type="http://schemas.openxmlformats.org/officeDocument/2006/relationships/hyperlink" Target="http://wise.fau.edu/regulations/chapter4/Reg_4.001_5-26-10_FINAL.pdf" TargetMode="External"/><Relationship Id="rId31" Type="http://schemas.openxmlformats.org/officeDocument/2006/relationships/fontTable" Target="fontTable.xml"/><Relationship Id="rId4" Type="http://schemas.openxmlformats.org/officeDocument/2006/relationships/hyperlink" Target="http://en.wikipedia.org/wiki/The_Sorrows_of_Young_Werther" TargetMode="External"/><Relationship Id="rId9" Type="http://schemas.openxmlformats.org/officeDocument/2006/relationships/hyperlink" Target="http://en.wikipedia.org/wiki/By%C5%8Dd%C5%8D-in" TargetMode="External"/><Relationship Id="rId14" Type="http://schemas.openxmlformats.org/officeDocument/2006/relationships/hyperlink" Target="http://www.amazon.com/No-Exit-Three-Other-Plays/dp/0679725164/ref=sr_1_1?ie=UTF8&amp;qid=1423343350&amp;sr=8-1&amp;keywords=Sartre+no+exit" TargetMode="External"/><Relationship Id="rId22" Type="http://schemas.openxmlformats.org/officeDocument/2006/relationships/hyperlink" Target="http://www.openculture.com/2012/09/harold_pinter_stars_in_jean-paul_sartres_no_exit_.html" TargetMode="External"/><Relationship Id="rId27" Type="http://schemas.openxmlformats.org/officeDocument/2006/relationships/hyperlink" Target="http://en.wikipedia.org/wiki/Sei_Sh%C5%8Dnagon" TargetMode="External"/><Relationship Id="rId30" Type="http://schemas.openxmlformats.org/officeDocument/2006/relationships/hyperlink" Target="http://en.wikipedia.org/wiki/Gei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cp:lastModifiedBy>mjenning</cp:lastModifiedBy>
  <cp:revision>3</cp:revision>
  <dcterms:created xsi:type="dcterms:W3CDTF">2015-03-23T15:51:00Z</dcterms:created>
  <dcterms:modified xsi:type="dcterms:W3CDTF">2015-03-23T16:31:00Z</dcterms:modified>
</cp:coreProperties>
</file>