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2DF" w:rsidRPr="00193BD4" w:rsidRDefault="008002CC" w:rsidP="00BF2789">
      <w:pPr>
        <w:pStyle w:val="Heading1"/>
        <w:jc w:val="center"/>
        <w:rPr>
          <w:rFonts w:ascii="Comic Sans MS" w:hAnsi="Comic Sans MS"/>
          <w:bCs/>
          <w:sz w:val="48"/>
          <w:szCs w:val="48"/>
        </w:rPr>
      </w:pPr>
      <w:bookmarkStart w:id="0" w:name="_GoBack"/>
      <w:bookmarkEnd w:id="0"/>
      <w:r w:rsidRPr="008002CC">
        <w:rPr>
          <w:rFonts w:ascii="Comic Sans MS" w:hAnsi="Comic Sans MS"/>
          <w:sz w:val="48"/>
          <w:szCs w:val="48"/>
        </w:rPr>
        <w:t>Medicinal Chemistry</w:t>
      </w:r>
    </w:p>
    <w:p w:rsidR="009872DF" w:rsidRPr="00193BD4" w:rsidRDefault="00DF5AC5">
      <w:pPr>
        <w:pStyle w:val="Heading4"/>
        <w:rPr>
          <w:rFonts w:ascii="Comic Sans MS" w:hAnsi="Comic Sans MS"/>
          <w:b w:val="0"/>
          <w:bCs/>
          <w:sz w:val="32"/>
          <w:szCs w:val="32"/>
        </w:rPr>
      </w:pPr>
      <w:r w:rsidRPr="00DF5AC5">
        <w:rPr>
          <w:rFonts w:ascii="Comic Sans MS" w:hAnsi="Comic Sans MS"/>
          <w:b w:val="0"/>
          <w:sz w:val="32"/>
          <w:szCs w:val="32"/>
        </w:rPr>
        <w:t>CHM 4294</w:t>
      </w:r>
      <w:r w:rsidR="00BF2789" w:rsidRPr="00193BD4">
        <w:rPr>
          <w:rFonts w:ascii="Comic Sans MS" w:hAnsi="Comic Sans MS"/>
          <w:b w:val="0"/>
          <w:sz w:val="32"/>
          <w:szCs w:val="32"/>
        </w:rPr>
        <w:t xml:space="preserve">, </w:t>
      </w:r>
      <w:r w:rsidR="009872DF" w:rsidRPr="00193BD4">
        <w:rPr>
          <w:rFonts w:ascii="Comic Sans MS" w:hAnsi="Comic Sans MS"/>
          <w:b w:val="0"/>
          <w:bCs/>
          <w:sz w:val="32"/>
          <w:szCs w:val="32"/>
        </w:rPr>
        <w:t>Spring 20</w:t>
      </w:r>
      <w:r w:rsidR="0043326F">
        <w:rPr>
          <w:rFonts w:ascii="Comic Sans MS" w:hAnsi="Comic Sans MS"/>
          <w:b w:val="0"/>
          <w:bCs/>
          <w:sz w:val="32"/>
          <w:szCs w:val="32"/>
        </w:rPr>
        <w:t>1</w:t>
      </w:r>
      <w:r>
        <w:rPr>
          <w:rFonts w:ascii="Comic Sans MS" w:hAnsi="Comic Sans MS"/>
          <w:b w:val="0"/>
          <w:bCs/>
          <w:sz w:val="32"/>
          <w:szCs w:val="32"/>
        </w:rPr>
        <w:t>7</w:t>
      </w:r>
    </w:p>
    <w:p w:rsidR="009872DF" w:rsidRPr="00193BD4" w:rsidRDefault="00E22347">
      <w:pPr>
        <w:jc w:val="center"/>
        <w:rPr>
          <w:rFonts w:ascii="Comic Sans MS" w:hAnsi="Comic Sans MS"/>
          <w:bCs/>
          <w:sz w:val="32"/>
        </w:rPr>
      </w:pPr>
      <w:r>
        <w:rPr>
          <w:rFonts w:ascii="Comic Sans MS" w:hAnsi="Comic Sans MS"/>
          <w:bCs/>
          <w:sz w:val="32"/>
        </w:rPr>
        <w:t>BU 402</w:t>
      </w:r>
      <w:r w:rsidR="009872DF" w:rsidRPr="00193BD4">
        <w:rPr>
          <w:rFonts w:ascii="Comic Sans MS" w:hAnsi="Comic Sans MS"/>
          <w:bCs/>
          <w:sz w:val="32"/>
        </w:rPr>
        <w:t xml:space="preserve">, </w:t>
      </w:r>
      <w:r w:rsidR="008002CC">
        <w:rPr>
          <w:rFonts w:ascii="Comic Sans MS" w:hAnsi="Comic Sans MS"/>
          <w:bCs/>
          <w:sz w:val="32"/>
        </w:rPr>
        <w:t>Mondays</w:t>
      </w:r>
      <w:r w:rsidR="00E732F2">
        <w:rPr>
          <w:rFonts w:ascii="Comic Sans MS" w:hAnsi="Comic Sans MS"/>
          <w:bCs/>
          <w:sz w:val="32"/>
        </w:rPr>
        <w:t xml:space="preserve"> &amp; </w:t>
      </w:r>
      <w:r w:rsidR="008002CC">
        <w:rPr>
          <w:rFonts w:ascii="Comic Sans MS" w:hAnsi="Comic Sans MS"/>
          <w:bCs/>
          <w:sz w:val="32"/>
        </w:rPr>
        <w:t>Wednesdays</w:t>
      </w:r>
      <w:r w:rsidR="009872DF" w:rsidRPr="00193BD4">
        <w:rPr>
          <w:rFonts w:ascii="Comic Sans MS" w:hAnsi="Comic Sans MS"/>
          <w:bCs/>
          <w:sz w:val="32"/>
        </w:rPr>
        <w:t xml:space="preserve"> </w:t>
      </w:r>
      <w:r w:rsidR="00AB7F9A">
        <w:rPr>
          <w:rFonts w:ascii="Comic Sans MS" w:hAnsi="Comic Sans MS"/>
          <w:bCs/>
          <w:sz w:val="32"/>
        </w:rPr>
        <w:t>4</w:t>
      </w:r>
      <w:r w:rsidR="00E732F2">
        <w:rPr>
          <w:rFonts w:ascii="Comic Sans MS" w:hAnsi="Comic Sans MS"/>
          <w:bCs/>
          <w:sz w:val="32"/>
        </w:rPr>
        <w:t>:00</w:t>
      </w:r>
      <w:r w:rsidR="004817FF" w:rsidRPr="00193BD4">
        <w:rPr>
          <w:rFonts w:ascii="Comic Sans MS" w:hAnsi="Comic Sans MS"/>
          <w:bCs/>
          <w:sz w:val="32"/>
        </w:rPr>
        <w:t xml:space="preserve"> - </w:t>
      </w:r>
      <w:r w:rsidR="00AB7F9A">
        <w:rPr>
          <w:rFonts w:ascii="Comic Sans MS" w:hAnsi="Comic Sans MS"/>
          <w:bCs/>
          <w:sz w:val="32"/>
        </w:rPr>
        <w:t>5</w:t>
      </w:r>
      <w:r w:rsidR="00E732F2">
        <w:rPr>
          <w:rFonts w:ascii="Comic Sans MS" w:hAnsi="Comic Sans MS"/>
          <w:bCs/>
          <w:sz w:val="32"/>
        </w:rPr>
        <w:t>:</w:t>
      </w:r>
      <w:r w:rsidR="00AB7F9A">
        <w:rPr>
          <w:rFonts w:ascii="Comic Sans MS" w:hAnsi="Comic Sans MS"/>
          <w:bCs/>
          <w:sz w:val="32"/>
        </w:rPr>
        <w:t>2</w:t>
      </w:r>
      <w:r w:rsidR="00E732F2">
        <w:rPr>
          <w:rFonts w:ascii="Comic Sans MS" w:hAnsi="Comic Sans MS"/>
          <w:bCs/>
          <w:sz w:val="32"/>
        </w:rPr>
        <w:t>0</w:t>
      </w:r>
      <w:r w:rsidR="004817FF" w:rsidRPr="00193BD4">
        <w:rPr>
          <w:rFonts w:ascii="Comic Sans MS" w:hAnsi="Comic Sans MS"/>
          <w:bCs/>
          <w:sz w:val="32"/>
        </w:rPr>
        <w:t xml:space="preserve"> </w:t>
      </w:r>
      <w:r w:rsidR="001D3AA4">
        <w:rPr>
          <w:rFonts w:ascii="Comic Sans MS" w:hAnsi="Comic Sans MS"/>
          <w:bCs/>
          <w:sz w:val="32"/>
        </w:rPr>
        <w:t>PM</w:t>
      </w:r>
    </w:p>
    <w:p w:rsidR="009872DF" w:rsidRDefault="009872DF" w:rsidP="00193B19">
      <w:pPr>
        <w:jc w:val="center"/>
        <w:rPr>
          <w:sz w:val="24"/>
        </w:rPr>
      </w:pPr>
    </w:p>
    <w:tbl>
      <w:tblPr>
        <w:tblW w:w="8145" w:type="dxa"/>
        <w:jc w:val="center"/>
        <w:tblLook w:val="01E0" w:firstRow="1" w:lastRow="1" w:firstColumn="1" w:lastColumn="1" w:noHBand="0" w:noVBand="0"/>
      </w:tblPr>
      <w:tblGrid>
        <w:gridCol w:w="1656"/>
        <w:gridCol w:w="6489"/>
      </w:tblGrid>
      <w:tr w:rsidR="0030690A" w:rsidRPr="005922F9" w:rsidTr="00BE4486">
        <w:trPr>
          <w:trHeight w:val="288"/>
          <w:jc w:val="center"/>
        </w:trPr>
        <w:tc>
          <w:tcPr>
            <w:tcW w:w="1656" w:type="dxa"/>
          </w:tcPr>
          <w:p w:rsidR="0030690A" w:rsidRPr="002C16B6" w:rsidRDefault="00081CCA" w:rsidP="00371A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C16B6">
              <w:rPr>
                <w:rFonts w:ascii="Arial" w:hAnsi="Arial" w:cs="Arial"/>
                <w:b/>
                <w:bCs/>
                <w:sz w:val="21"/>
                <w:szCs w:val="21"/>
              </w:rPr>
              <w:t>Instructor</w:t>
            </w:r>
            <w:r w:rsidR="0030690A" w:rsidRPr="002C16B6">
              <w:rPr>
                <w:rFonts w:ascii="Arial" w:hAnsi="Arial" w:cs="Arial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6489" w:type="dxa"/>
          </w:tcPr>
          <w:p w:rsidR="003E751A" w:rsidRPr="002C16B6" w:rsidRDefault="003E751A" w:rsidP="00081CCA">
            <w:pPr>
              <w:rPr>
                <w:rFonts w:ascii="Arial" w:hAnsi="Arial" w:cs="Arial"/>
                <w:iCs/>
                <w:sz w:val="21"/>
                <w:szCs w:val="21"/>
                <w:lang w:val="it-IT"/>
              </w:rPr>
            </w:pPr>
            <w:r w:rsidRPr="002C16B6">
              <w:rPr>
                <w:rFonts w:ascii="Arial" w:hAnsi="Arial" w:cs="Arial"/>
                <w:sz w:val="21"/>
                <w:szCs w:val="21"/>
                <w:lang w:val="it-IT"/>
              </w:rPr>
              <w:t>Prof</w:t>
            </w:r>
            <w:r w:rsidR="0030690A" w:rsidRPr="002C16B6">
              <w:rPr>
                <w:rFonts w:ascii="Arial" w:hAnsi="Arial" w:cs="Arial"/>
                <w:sz w:val="21"/>
                <w:szCs w:val="21"/>
                <w:lang w:val="it-IT"/>
              </w:rPr>
              <w:t xml:space="preserve">. Salvatore Lepore, S&amp;E 136, 7-0330, </w:t>
            </w:r>
            <w:r w:rsidR="0030690A" w:rsidRPr="002C16B6">
              <w:rPr>
                <w:rFonts w:ascii="Arial" w:hAnsi="Arial" w:cs="Arial"/>
                <w:i/>
                <w:iCs/>
                <w:sz w:val="21"/>
                <w:szCs w:val="21"/>
                <w:lang w:val="it-IT"/>
              </w:rPr>
              <w:t>slepore@fau.edu</w:t>
            </w:r>
          </w:p>
        </w:tc>
      </w:tr>
      <w:tr w:rsidR="00866267" w:rsidRPr="002C16B6" w:rsidTr="00BE4486">
        <w:trPr>
          <w:trHeight w:val="288"/>
          <w:jc w:val="center"/>
        </w:trPr>
        <w:tc>
          <w:tcPr>
            <w:tcW w:w="1656" w:type="dxa"/>
          </w:tcPr>
          <w:p w:rsidR="00866267" w:rsidRPr="002C16B6" w:rsidRDefault="00866267" w:rsidP="00371AEC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C16B6">
              <w:rPr>
                <w:rFonts w:ascii="Arial" w:hAnsi="Arial" w:cs="Arial"/>
                <w:b/>
                <w:bCs/>
                <w:sz w:val="21"/>
                <w:szCs w:val="21"/>
              </w:rPr>
              <w:t>Office Hours:</w:t>
            </w:r>
          </w:p>
        </w:tc>
        <w:tc>
          <w:tcPr>
            <w:tcW w:w="6489" w:type="dxa"/>
          </w:tcPr>
          <w:p w:rsidR="00866267" w:rsidRPr="002C16B6" w:rsidRDefault="00BB180F" w:rsidP="0030690A">
            <w:pPr>
              <w:rPr>
                <w:rFonts w:ascii="Arial" w:hAnsi="Arial" w:cs="Arial"/>
                <w:iCs/>
                <w:sz w:val="21"/>
                <w:szCs w:val="21"/>
              </w:rPr>
            </w:pPr>
            <w:r>
              <w:rPr>
                <w:rFonts w:ascii="Arial" w:hAnsi="Arial" w:cs="Arial"/>
                <w:iCs/>
                <w:sz w:val="21"/>
                <w:szCs w:val="21"/>
              </w:rPr>
              <w:t>To be announced</w:t>
            </w:r>
          </w:p>
        </w:tc>
      </w:tr>
      <w:tr w:rsidR="0030690A" w:rsidRPr="002C16B6" w:rsidTr="00BE4486">
        <w:trPr>
          <w:trHeight w:val="288"/>
          <w:jc w:val="center"/>
        </w:trPr>
        <w:tc>
          <w:tcPr>
            <w:tcW w:w="1656" w:type="dxa"/>
          </w:tcPr>
          <w:p w:rsidR="0030690A" w:rsidRPr="002C16B6" w:rsidRDefault="0030690A" w:rsidP="00371A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C16B6">
              <w:rPr>
                <w:rFonts w:ascii="Arial" w:hAnsi="Arial" w:cs="Arial"/>
                <w:b/>
                <w:bCs/>
                <w:sz w:val="21"/>
                <w:szCs w:val="21"/>
              </w:rPr>
              <w:t>Text:</w:t>
            </w:r>
          </w:p>
        </w:tc>
        <w:tc>
          <w:tcPr>
            <w:tcW w:w="6489" w:type="dxa"/>
          </w:tcPr>
          <w:p w:rsidR="006767BB" w:rsidRPr="002C16B6" w:rsidRDefault="006767BB" w:rsidP="0030690A">
            <w:pPr>
              <w:pStyle w:val="BodyText"/>
              <w:rPr>
                <w:rFonts w:ascii="Arial" w:hAnsi="Arial" w:cs="Arial"/>
                <w:i/>
                <w:sz w:val="21"/>
                <w:szCs w:val="21"/>
              </w:rPr>
            </w:pPr>
            <w:r w:rsidRPr="002C16B6">
              <w:rPr>
                <w:rFonts w:ascii="Arial" w:hAnsi="Arial" w:cs="Arial"/>
                <w:i/>
                <w:sz w:val="21"/>
                <w:szCs w:val="21"/>
              </w:rPr>
              <w:t>Medicinal Chemistry</w:t>
            </w:r>
            <w:r w:rsidR="0072587F" w:rsidRPr="002C16B6">
              <w:rPr>
                <w:rFonts w:ascii="Arial" w:hAnsi="Arial" w:cs="Arial"/>
                <w:i/>
                <w:sz w:val="21"/>
                <w:szCs w:val="21"/>
              </w:rPr>
              <w:t>: An Introduction</w:t>
            </w:r>
            <w:r w:rsidRPr="002C16B6">
              <w:rPr>
                <w:rFonts w:ascii="Arial" w:hAnsi="Arial" w:cs="Arial"/>
                <w:i/>
                <w:sz w:val="21"/>
                <w:szCs w:val="21"/>
              </w:rPr>
              <w:t xml:space="preserve"> (second edition)</w:t>
            </w:r>
          </w:p>
          <w:p w:rsidR="0030690A" w:rsidRPr="002C16B6" w:rsidRDefault="0030690A" w:rsidP="0030690A">
            <w:pPr>
              <w:pStyle w:val="BodyText"/>
              <w:rPr>
                <w:rFonts w:ascii="Arial" w:hAnsi="Arial" w:cs="Arial"/>
                <w:sz w:val="21"/>
                <w:szCs w:val="21"/>
              </w:rPr>
            </w:pPr>
            <w:r w:rsidRPr="002C16B6">
              <w:rPr>
                <w:rFonts w:ascii="Arial" w:hAnsi="Arial" w:cs="Arial"/>
                <w:sz w:val="21"/>
                <w:szCs w:val="21"/>
              </w:rPr>
              <w:t>(</w:t>
            </w:r>
            <w:r w:rsidR="006767BB" w:rsidRPr="002C16B6">
              <w:rPr>
                <w:rFonts w:ascii="Arial" w:hAnsi="Arial" w:cs="Arial"/>
                <w:sz w:val="21"/>
                <w:szCs w:val="21"/>
              </w:rPr>
              <w:t>Gareth Thomas</w:t>
            </w:r>
            <w:r w:rsidRPr="002C16B6">
              <w:rPr>
                <w:rFonts w:ascii="Arial" w:hAnsi="Arial" w:cs="Arial"/>
                <w:sz w:val="21"/>
                <w:szCs w:val="21"/>
              </w:rPr>
              <w:t xml:space="preserve">) </w:t>
            </w:r>
            <w:r w:rsidR="006767BB" w:rsidRPr="002C16B6">
              <w:rPr>
                <w:rFonts w:ascii="Arial" w:hAnsi="Arial" w:cs="Arial"/>
                <w:sz w:val="21"/>
                <w:szCs w:val="21"/>
              </w:rPr>
              <w:t>Wiley</w:t>
            </w:r>
            <w:r w:rsidRPr="002C16B6">
              <w:rPr>
                <w:rFonts w:ascii="Arial" w:hAnsi="Arial" w:cs="Arial"/>
                <w:sz w:val="21"/>
                <w:szCs w:val="21"/>
              </w:rPr>
              <w:t>,</w:t>
            </w:r>
            <w:r w:rsidR="003E751A" w:rsidRPr="002C16B6">
              <w:rPr>
                <w:rFonts w:ascii="Arial" w:hAnsi="Arial" w:cs="Arial"/>
                <w:sz w:val="21"/>
                <w:szCs w:val="21"/>
              </w:rPr>
              <w:t xml:space="preserve"> 2007</w:t>
            </w:r>
            <w:r w:rsidR="008B04FE" w:rsidRPr="002C16B6">
              <w:rPr>
                <w:rFonts w:ascii="Arial" w:hAnsi="Arial" w:cs="Arial"/>
                <w:sz w:val="21"/>
                <w:szCs w:val="21"/>
              </w:rPr>
              <w:t xml:space="preserve"> (ISBN </w:t>
            </w:r>
            <w:r w:rsidR="00850A77" w:rsidRPr="002C16B6">
              <w:rPr>
                <w:rFonts w:ascii="Arial" w:hAnsi="Arial" w:cs="Arial"/>
                <w:sz w:val="21"/>
                <w:szCs w:val="21"/>
              </w:rPr>
              <w:t>978-0-470-02598-7</w:t>
            </w:r>
            <w:r w:rsidR="008B04FE" w:rsidRPr="002C16B6">
              <w:rPr>
                <w:rFonts w:ascii="Arial" w:hAnsi="Arial" w:cs="Arial"/>
                <w:sz w:val="21"/>
                <w:szCs w:val="21"/>
              </w:rPr>
              <w:t>)</w:t>
            </w:r>
            <w:r w:rsidR="00BB180F">
              <w:rPr>
                <w:rFonts w:ascii="Arial" w:hAnsi="Arial" w:cs="Arial"/>
                <w:sz w:val="21"/>
                <w:szCs w:val="21"/>
              </w:rPr>
              <w:t>. Required</w:t>
            </w:r>
          </w:p>
          <w:p w:rsidR="00D603E0" w:rsidRPr="002C16B6" w:rsidRDefault="00D603E0" w:rsidP="006767B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A415FA" w:rsidRPr="002C16B6" w:rsidRDefault="00A415FA" w:rsidP="00922EF3">
      <w:pPr>
        <w:pStyle w:val="Heading2"/>
        <w:ind w:left="1440" w:hanging="1440"/>
        <w:rPr>
          <w:rFonts w:ascii="Arial" w:hAnsi="Arial" w:cs="Arial"/>
          <w:sz w:val="21"/>
          <w:szCs w:val="21"/>
        </w:rPr>
        <w:sectPr w:rsidR="00A415FA" w:rsidRPr="002C16B6" w:rsidSect="00523B2A">
          <w:pgSz w:w="12240" w:h="15840"/>
          <w:pgMar w:top="720" w:right="720" w:bottom="720" w:left="720" w:header="720" w:footer="720" w:gutter="0"/>
          <w:cols w:space="720"/>
          <w:docGrid w:linePitch="272"/>
        </w:sectPr>
      </w:pPr>
    </w:p>
    <w:p w:rsidR="007F5033" w:rsidRPr="00BB180F" w:rsidRDefault="00081CCA" w:rsidP="00193B19">
      <w:pPr>
        <w:rPr>
          <w:rFonts w:ascii="Arial" w:hAnsi="Arial" w:cs="Arial"/>
          <w:sz w:val="21"/>
          <w:szCs w:val="21"/>
        </w:rPr>
      </w:pPr>
      <w:r w:rsidRPr="00BB180F">
        <w:rPr>
          <w:rFonts w:ascii="Arial" w:hAnsi="Arial" w:cs="Arial"/>
          <w:b/>
          <w:bCs/>
          <w:iCs/>
          <w:sz w:val="21"/>
          <w:szCs w:val="21"/>
        </w:rPr>
        <w:t>Course Description</w:t>
      </w:r>
      <w:r w:rsidR="00DD4AE4" w:rsidRPr="00BB180F">
        <w:rPr>
          <w:rFonts w:ascii="Arial" w:hAnsi="Arial" w:cs="Arial"/>
          <w:bCs/>
          <w:iCs/>
          <w:sz w:val="21"/>
          <w:szCs w:val="21"/>
        </w:rPr>
        <w:t xml:space="preserve"> (3 credit hours)</w:t>
      </w:r>
    </w:p>
    <w:p w:rsidR="00BB2896" w:rsidRPr="00BB180F" w:rsidRDefault="00BB2896" w:rsidP="00BE02E3">
      <w:pPr>
        <w:jc w:val="both"/>
        <w:rPr>
          <w:rFonts w:ascii="Arial" w:hAnsi="Arial" w:cs="Arial"/>
          <w:sz w:val="21"/>
          <w:szCs w:val="21"/>
        </w:rPr>
      </w:pPr>
      <w:r w:rsidRPr="00BB180F">
        <w:rPr>
          <w:rFonts w:ascii="Arial" w:hAnsi="Arial" w:cs="Arial"/>
          <w:sz w:val="21"/>
          <w:szCs w:val="21"/>
        </w:rPr>
        <w:t>This course will provide</w:t>
      </w:r>
      <w:r w:rsidR="002C16B6" w:rsidRPr="00BB180F">
        <w:rPr>
          <w:rFonts w:ascii="Arial" w:hAnsi="Arial" w:cs="Arial"/>
          <w:sz w:val="21"/>
          <w:szCs w:val="21"/>
        </w:rPr>
        <w:t xml:space="preserve"> a comprehensive and</w:t>
      </w:r>
      <w:r w:rsidR="00BE02E3" w:rsidRPr="00BB180F">
        <w:rPr>
          <w:rFonts w:ascii="Arial" w:hAnsi="Arial" w:cs="Arial"/>
          <w:sz w:val="21"/>
          <w:szCs w:val="21"/>
        </w:rPr>
        <w:t xml:space="preserve"> balanced introduction to </w:t>
      </w:r>
      <w:r w:rsidRPr="00BB180F">
        <w:rPr>
          <w:rFonts w:ascii="Arial" w:hAnsi="Arial" w:cs="Arial"/>
          <w:sz w:val="21"/>
          <w:szCs w:val="21"/>
        </w:rPr>
        <w:t xml:space="preserve">medicinal chemistry beginning with </w:t>
      </w:r>
      <w:r w:rsidR="00BE02E3" w:rsidRPr="00BB180F">
        <w:rPr>
          <w:rFonts w:ascii="Arial" w:hAnsi="Arial" w:cs="Arial"/>
          <w:sz w:val="21"/>
          <w:szCs w:val="21"/>
        </w:rPr>
        <w:t>fundamental principles</w:t>
      </w:r>
      <w:r w:rsidRPr="00BB180F">
        <w:rPr>
          <w:rFonts w:ascii="Arial" w:hAnsi="Arial" w:cs="Arial"/>
          <w:sz w:val="21"/>
          <w:szCs w:val="21"/>
        </w:rPr>
        <w:t xml:space="preserve"> and progressing to p</w:t>
      </w:r>
      <w:r w:rsidR="00BE02E3" w:rsidRPr="00BB180F">
        <w:rPr>
          <w:rFonts w:ascii="Arial" w:hAnsi="Arial" w:cs="Arial"/>
          <w:sz w:val="21"/>
          <w:szCs w:val="21"/>
        </w:rPr>
        <w:t xml:space="preserve">rincipal methods used in drug design </w:t>
      </w:r>
      <w:r w:rsidRPr="00BB180F">
        <w:rPr>
          <w:rFonts w:ascii="Arial" w:hAnsi="Arial" w:cs="Arial"/>
          <w:sz w:val="21"/>
          <w:szCs w:val="21"/>
        </w:rPr>
        <w:t xml:space="preserve">such as quantitative structure-activity relationships, computer-aided </w:t>
      </w:r>
      <w:r w:rsidR="002C16B6" w:rsidRPr="00BB180F">
        <w:rPr>
          <w:rFonts w:ascii="Arial" w:hAnsi="Arial" w:cs="Arial"/>
          <w:sz w:val="21"/>
          <w:szCs w:val="21"/>
        </w:rPr>
        <w:t xml:space="preserve">drug </w:t>
      </w:r>
      <w:r w:rsidRPr="00BB180F">
        <w:rPr>
          <w:rFonts w:ascii="Arial" w:hAnsi="Arial" w:cs="Arial"/>
          <w:sz w:val="21"/>
          <w:szCs w:val="21"/>
        </w:rPr>
        <w:t>design, and combinatorial chemistry</w:t>
      </w:r>
      <w:r w:rsidR="00BE02E3" w:rsidRPr="00BB180F">
        <w:rPr>
          <w:rFonts w:ascii="Arial" w:hAnsi="Arial" w:cs="Arial"/>
          <w:sz w:val="21"/>
          <w:szCs w:val="21"/>
        </w:rPr>
        <w:t xml:space="preserve">. </w:t>
      </w:r>
      <w:r w:rsidRPr="00BB180F">
        <w:rPr>
          <w:rFonts w:ascii="Arial" w:hAnsi="Arial" w:cs="Arial"/>
          <w:sz w:val="21"/>
          <w:szCs w:val="21"/>
        </w:rPr>
        <w:t>S</w:t>
      </w:r>
      <w:r w:rsidR="00BE02E3" w:rsidRPr="00BB180F">
        <w:rPr>
          <w:rFonts w:ascii="Arial" w:hAnsi="Arial" w:cs="Arial"/>
          <w:sz w:val="21"/>
          <w:szCs w:val="21"/>
        </w:rPr>
        <w:t>ubsequent discuss</w:t>
      </w:r>
      <w:r w:rsidRPr="00BB180F">
        <w:rPr>
          <w:rFonts w:ascii="Arial" w:hAnsi="Arial" w:cs="Arial"/>
          <w:sz w:val="21"/>
          <w:szCs w:val="21"/>
        </w:rPr>
        <w:t>ions of</w:t>
      </w:r>
      <w:r w:rsidR="00BE02E3" w:rsidRPr="00BB180F">
        <w:rPr>
          <w:rFonts w:ascii="Arial" w:hAnsi="Arial" w:cs="Arial"/>
          <w:sz w:val="21"/>
          <w:szCs w:val="21"/>
        </w:rPr>
        <w:t xml:space="preserve"> more specialized aspects of medicinal chemistry </w:t>
      </w:r>
      <w:r w:rsidRPr="00BB180F">
        <w:rPr>
          <w:rFonts w:ascii="Arial" w:hAnsi="Arial" w:cs="Arial"/>
          <w:sz w:val="21"/>
          <w:szCs w:val="21"/>
        </w:rPr>
        <w:t>will involve pharmacokinetics and drug metabolism. These concepts will be discussed using numerous examples of drugs and drug action.</w:t>
      </w:r>
    </w:p>
    <w:p w:rsidR="00BB2896" w:rsidRPr="00BB180F" w:rsidRDefault="00BB2896" w:rsidP="00BE02E3">
      <w:pPr>
        <w:jc w:val="both"/>
        <w:rPr>
          <w:rFonts w:ascii="Arial" w:hAnsi="Arial" w:cs="Arial"/>
          <w:sz w:val="21"/>
          <w:szCs w:val="21"/>
        </w:rPr>
      </w:pPr>
    </w:p>
    <w:p w:rsidR="009872DF" w:rsidRPr="00BB180F" w:rsidRDefault="00081CCA">
      <w:pPr>
        <w:pStyle w:val="Heading2"/>
        <w:jc w:val="both"/>
        <w:rPr>
          <w:rFonts w:ascii="Arial" w:hAnsi="Arial" w:cs="Arial"/>
          <w:b w:val="0"/>
          <w:color w:val="003300"/>
          <w:sz w:val="21"/>
          <w:szCs w:val="21"/>
        </w:rPr>
      </w:pPr>
      <w:r w:rsidRPr="00BB180F">
        <w:rPr>
          <w:rFonts w:ascii="Arial" w:hAnsi="Arial" w:cs="Arial"/>
          <w:color w:val="003300"/>
          <w:sz w:val="21"/>
          <w:szCs w:val="21"/>
        </w:rPr>
        <w:t>Course Objective</w:t>
      </w:r>
    </w:p>
    <w:p w:rsidR="009872DF" w:rsidRPr="00BB180F" w:rsidRDefault="005E57CB" w:rsidP="005E57CB">
      <w:pPr>
        <w:pStyle w:val="Heading2"/>
        <w:jc w:val="both"/>
        <w:rPr>
          <w:rFonts w:ascii="Arial" w:hAnsi="Arial" w:cs="Arial"/>
          <w:b w:val="0"/>
          <w:sz w:val="21"/>
          <w:szCs w:val="21"/>
        </w:rPr>
      </w:pPr>
      <w:r w:rsidRPr="00BB180F">
        <w:rPr>
          <w:rFonts w:ascii="Arial" w:hAnsi="Arial" w:cs="Arial"/>
          <w:b w:val="0"/>
          <w:sz w:val="21"/>
          <w:szCs w:val="21"/>
        </w:rPr>
        <w:t xml:space="preserve">The objectives of the course are to provide </w:t>
      </w:r>
      <w:r w:rsidR="00BB2896" w:rsidRPr="00BB180F">
        <w:rPr>
          <w:rFonts w:ascii="Arial" w:hAnsi="Arial" w:cs="Arial"/>
          <w:b w:val="0"/>
          <w:sz w:val="21"/>
          <w:szCs w:val="21"/>
        </w:rPr>
        <w:t>chemists</w:t>
      </w:r>
      <w:r w:rsidRPr="00BB180F">
        <w:rPr>
          <w:rFonts w:ascii="Arial" w:hAnsi="Arial" w:cs="Arial"/>
          <w:b w:val="0"/>
          <w:sz w:val="21"/>
          <w:szCs w:val="21"/>
        </w:rPr>
        <w:t xml:space="preserve"> with a broad introduction to the background, concepts, and tools of medicinal chemistry. At the end of the course</w:t>
      </w:r>
      <w:r w:rsidR="002C16B6" w:rsidRPr="00BB180F">
        <w:rPr>
          <w:rFonts w:ascii="Arial" w:hAnsi="Arial" w:cs="Arial"/>
          <w:b w:val="0"/>
          <w:sz w:val="21"/>
          <w:szCs w:val="21"/>
        </w:rPr>
        <w:t>, the students should be able</w:t>
      </w:r>
      <w:r w:rsidRPr="00BB180F">
        <w:rPr>
          <w:rFonts w:ascii="Arial" w:hAnsi="Arial" w:cs="Arial"/>
          <w:b w:val="0"/>
          <w:sz w:val="21"/>
          <w:szCs w:val="21"/>
        </w:rPr>
        <w:t xml:space="preserve"> </w:t>
      </w:r>
      <w:r w:rsidR="002C16B6" w:rsidRPr="00BB180F">
        <w:rPr>
          <w:rFonts w:ascii="Arial" w:hAnsi="Arial" w:cs="Arial"/>
          <w:b w:val="0"/>
          <w:sz w:val="21"/>
          <w:szCs w:val="21"/>
        </w:rPr>
        <w:t>to solve medicinal chemistry-related problems in their principal fields of study</w:t>
      </w:r>
      <w:r w:rsidRPr="00BB180F">
        <w:rPr>
          <w:rFonts w:ascii="Arial" w:hAnsi="Arial" w:cs="Arial"/>
          <w:b w:val="0"/>
          <w:sz w:val="21"/>
          <w:szCs w:val="21"/>
        </w:rPr>
        <w:t>.</w:t>
      </w:r>
    </w:p>
    <w:p w:rsidR="00BB2896" w:rsidRPr="00BB180F" w:rsidRDefault="00BB2896" w:rsidP="00523B2A">
      <w:pPr>
        <w:jc w:val="both"/>
        <w:rPr>
          <w:rFonts w:ascii="Arial" w:hAnsi="Arial" w:cs="Arial"/>
          <w:bCs/>
          <w:sz w:val="21"/>
          <w:szCs w:val="21"/>
        </w:rPr>
      </w:pPr>
    </w:p>
    <w:p w:rsidR="00523B2A" w:rsidRPr="00BB180F" w:rsidRDefault="00523B2A" w:rsidP="00523B2A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BB180F">
        <w:rPr>
          <w:rFonts w:ascii="Arial" w:hAnsi="Arial" w:cs="Arial"/>
          <w:b/>
          <w:bCs/>
          <w:sz w:val="21"/>
          <w:szCs w:val="21"/>
        </w:rPr>
        <w:t>Homework</w:t>
      </w:r>
    </w:p>
    <w:p w:rsidR="00B04DE0" w:rsidRPr="00BB180F" w:rsidRDefault="002C16B6" w:rsidP="00523B2A">
      <w:pPr>
        <w:jc w:val="both"/>
        <w:rPr>
          <w:rFonts w:ascii="Arial" w:hAnsi="Arial" w:cs="Arial"/>
          <w:bCs/>
          <w:sz w:val="21"/>
          <w:szCs w:val="21"/>
        </w:rPr>
      </w:pPr>
      <w:r w:rsidRPr="00BB180F">
        <w:rPr>
          <w:rFonts w:ascii="Arial" w:hAnsi="Arial" w:cs="Arial"/>
          <w:bCs/>
          <w:sz w:val="21"/>
          <w:szCs w:val="21"/>
        </w:rPr>
        <w:t>While</w:t>
      </w:r>
      <w:r w:rsidR="000E6EA7" w:rsidRPr="00BB180F">
        <w:rPr>
          <w:rFonts w:ascii="Arial" w:hAnsi="Arial" w:cs="Arial"/>
          <w:bCs/>
          <w:sz w:val="21"/>
          <w:szCs w:val="21"/>
        </w:rPr>
        <w:t xml:space="preserve"> </w:t>
      </w:r>
      <w:r w:rsidR="00523B2A" w:rsidRPr="00BB180F">
        <w:rPr>
          <w:rFonts w:ascii="Arial" w:hAnsi="Arial" w:cs="Arial"/>
          <w:bCs/>
          <w:sz w:val="21"/>
          <w:szCs w:val="21"/>
        </w:rPr>
        <w:t>homework will not count</w:t>
      </w:r>
      <w:r w:rsidRPr="00BB180F">
        <w:rPr>
          <w:rFonts w:ascii="Arial" w:hAnsi="Arial" w:cs="Arial"/>
          <w:bCs/>
          <w:sz w:val="21"/>
          <w:szCs w:val="21"/>
        </w:rPr>
        <w:t xml:space="preserve"> towards the course grade, the</w:t>
      </w:r>
      <w:r w:rsidR="00523B2A" w:rsidRPr="00BB180F">
        <w:rPr>
          <w:rFonts w:ascii="Arial" w:hAnsi="Arial" w:cs="Arial"/>
          <w:bCs/>
          <w:sz w:val="21"/>
          <w:szCs w:val="21"/>
        </w:rPr>
        <w:t xml:space="preserve"> </w:t>
      </w:r>
      <w:r w:rsidR="000E6EA7" w:rsidRPr="00BB180F">
        <w:rPr>
          <w:rFonts w:ascii="Arial" w:hAnsi="Arial" w:cs="Arial"/>
          <w:bCs/>
          <w:sz w:val="21"/>
          <w:szCs w:val="21"/>
        </w:rPr>
        <w:t xml:space="preserve">end-of-chapter </w:t>
      </w:r>
      <w:r w:rsidR="00523B2A" w:rsidRPr="00BB180F">
        <w:rPr>
          <w:rFonts w:ascii="Arial" w:hAnsi="Arial" w:cs="Arial"/>
          <w:bCs/>
          <w:sz w:val="21"/>
          <w:szCs w:val="21"/>
        </w:rPr>
        <w:t xml:space="preserve">exercises are an important preparation for </w:t>
      </w:r>
      <w:r w:rsidR="000E6EA7" w:rsidRPr="00BB180F">
        <w:rPr>
          <w:rFonts w:ascii="Arial" w:hAnsi="Arial" w:cs="Arial"/>
          <w:bCs/>
          <w:sz w:val="21"/>
          <w:szCs w:val="21"/>
        </w:rPr>
        <w:t>exams</w:t>
      </w:r>
      <w:r w:rsidR="00523B2A" w:rsidRPr="00BB180F">
        <w:rPr>
          <w:rFonts w:ascii="Arial" w:hAnsi="Arial" w:cs="Arial"/>
          <w:bCs/>
          <w:sz w:val="21"/>
          <w:szCs w:val="21"/>
        </w:rPr>
        <w:t xml:space="preserve"> given in the cou</w:t>
      </w:r>
      <w:r w:rsidRPr="00BB180F">
        <w:rPr>
          <w:rFonts w:ascii="Arial" w:hAnsi="Arial" w:cs="Arial"/>
          <w:bCs/>
          <w:sz w:val="21"/>
          <w:szCs w:val="21"/>
        </w:rPr>
        <w:t>rse (see grading policy below).</w:t>
      </w:r>
      <w:r w:rsidR="00523B2A" w:rsidRPr="00BB180F">
        <w:rPr>
          <w:rFonts w:ascii="Arial" w:hAnsi="Arial" w:cs="Arial"/>
          <w:bCs/>
          <w:sz w:val="21"/>
          <w:szCs w:val="21"/>
        </w:rPr>
        <w:t xml:space="preserve"> It is strongly advised that students </w:t>
      </w:r>
      <w:r w:rsidR="00BB2896" w:rsidRPr="00BB180F">
        <w:rPr>
          <w:rFonts w:ascii="Arial" w:hAnsi="Arial" w:cs="Arial"/>
          <w:bCs/>
          <w:sz w:val="21"/>
          <w:szCs w:val="21"/>
        </w:rPr>
        <w:t xml:space="preserve">thoughtfully </w:t>
      </w:r>
      <w:r w:rsidR="00523B2A" w:rsidRPr="00BB180F">
        <w:rPr>
          <w:rFonts w:ascii="Arial" w:hAnsi="Arial" w:cs="Arial"/>
          <w:bCs/>
          <w:sz w:val="21"/>
          <w:szCs w:val="21"/>
        </w:rPr>
        <w:t xml:space="preserve">work </w:t>
      </w:r>
      <w:r w:rsidR="000E6EA7" w:rsidRPr="00BB180F">
        <w:rPr>
          <w:rFonts w:ascii="Arial" w:hAnsi="Arial" w:cs="Arial"/>
          <w:bCs/>
          <w:sz w:val="21"/>
          <w:szCs w:val="21"/>
        </w:rPr>
        <w:t xml:space="preserve">all </w:t>
      </w:r>
      <w:r w:rsidR="00523B2A" w:rsidRPr="00BB180F">
        <w:rPr>
          <w:rFonts w:ascii="Arial" w:hAnsi="Arial" w:cs="Arial"/>
          <w:bCs/>
          <w:sz w:val="21"/>
          <w:szCs w:val="21"/>
        </w:rPr>
        <w:t xml:space="preserve">homework problems </w:t>
      </w:r>
      <w:r w:rsidRPr="00BB180F">
        <w:rPr>
          <w:rFonts w:ascii="Arial" w:hAnsi="Arial" w:cs="Arial"/>
          <w:bCs/>
          <w:sz w:val="21"/>
          <w:szCs w:val="21"/>
        </w:rPr>
        <w:t>and those brought up in lecture</w:t>
      </w:r>
      <w:r w:rsidR="00523B2A" w:rsidRPr="00BB180F">
        <w:rPr>
          <w:rFonts w:ascii="Arial" w:hAnsi="Arial" w:cs="Arial"/>
          <w:bCs/>
          <w:sz w:val="21"/>
          <w:szCs w:val="21"/>
        </w:rPr>
        <w:t xml:space="preserve">. </w:t>
      </w:r>
    </w:p>
    <w:p w:rsidR="000E6EA7" w:rsidRPr="00BB180F" w:rsidRDefault="000E6EA7" w:rsidP="00523B2A">
      <w:pPr>
        <w:jc w:val="both"/>
        <w:rPr>
          <w:rFonts w:ascii="Arial" w:hAnsi="Arial" w:cs="Arial"/>
          <w:bCs/>
          <w:sz w:val="21"/>
          <w:szCs w:val="21"/>
        </w:rPr>
      </w:pPr>
    </w:p>
    <w:p w:rsidR="00BB2896" w:rsidRPr="00BB180F" w:rsidRDefault="00BB2896" w:rsidP="00BB2896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BB180F">
        <w:rPr>
          <w:rFonts w:ascii="Arial" w:hAnsi="Arial" w:cs="Arial"/>
          <w:b/>
          <w:bCs/>
          <w:sz w:val="21"/>
          <w:szCs w:val="21"/>
        </w:rPr>
        <w:t>Assessment (grading)</w:t>
      </w:r>
    </w:p>
    <w:p w:rsidR="00C272BD" w:rsidRDefault="00BB2896" w:rsidP="00C272BD">
      <w:pPr>
        <w:spacing w:before="80"/>
        <w:ind w:left="285" w:hanging="285"/>
        <w:jc w:val="both"/>
        <w:rPr>
          <w:rFonts w:ascii="Arial" w:hAnsi="Arial" w:cs="Arial"/>
          <w:sz w:val="21"/>
          <w:szCs w:val="21"/>
        </w:rPr>
      </w:pPr>
      <w:r w:rsidRPr="00BB180F">
        <w:rPr>
          <w:rFonts w:ascii="Arial" w:hAnsi="Arial" w:cs="Arial"/>
          <w:sz w:val="21"/>
          <w:szCs w:val="21"/>
        </w:rPr>
        <w:t>•</w:t>
      </w:r>
      <w:r w:rsidRPr="00BB180F">
        <w:rPr>
          <w:rFonts w:ascii="Arial" w:hAnsi="Arial" w:cs="Arial"/>
          <w:sz w:val="21"/>
          <w:szCs w:val="21"/>
        </w:rPr>
        <w:tab/>
        <w:t xml:space="preserve">Exams 1 </w:t>
      </w:r>
      <w:r w:rsidR="000C6E9D" w:rsidRPr="00BB180F">
        <w:rPr>
          <w:rFonts w:ascii="Arial" w:hAnsi="Arial" w:cs="Arial"/>
          <w:sz w:val="21"/>
          <w:szCs w:val="21"/>
        </w:rPr>
        <w:t>and</w:t>
      </w:r>
      <w:r w:rsidRPr="00BB180F">
        <w:rPr>
          <w:rFonts w:ascii="Arial" w:hAnsi="Arial" w:cs="Arial"/>
          <w:sz w:val="21"/>
          <w:szCs w:val="21"/>
        </w:rPr>
        <w:t xml:space="preserve"> </w:t>
      </w:r>
      <w:r w:rsidR="000C6E9D" w:rsidRPr="00BB180F">
        <w:rPr>
          <w:rFonts w:ascii="Arial" w:hAnsi="Arial" w:cs="Arial"/>
          <w:sz w:val="21"/>
          <w:szCs w:val="21"/>
        </w:rPr>
        <w:t>2</w:t>
      </w:r>
      <w:r w:rsidRPr="00BB180F">
        <w:rPr>
          <w:rFonts w:ascii="Arial" w:hAnsi="Arial" w:cs="Arial"/>
          <w:sz w:val="21"/>
          <w:szCs w:val="21"/>
        </w:rPr>
        <w:t xml:space="preserve"> (</w:t>
      </w:r>
      <w:r w:rsidR="000C6E9D" w:rsidRPr="00BB180F">
        <w:rPr>
          <w:rFonts w:ascii="Arial" w:hAnsi="Arial" w:cs="Arial"/>
          <w:sz w:val="21"/>
          <w:szCs w:val="21"/>
        </w:rPr>
        <w:t>5</w:t>
      </w:r>
      <w:r w:rsidR="005922F9">
        <w:rPr>
          <w:rFonts w:ascii="Arial" w:hAnsi="Arial" w:cs="Arial"/>
          <w:sz w:val="21"/>
          <w:szCs w:val="21"/>
        </w:rPr>
        <w:t>0</w:t>
      </w:r>
      <w:r w:rsidRPr="00BB180F">
        <w:rPr>
          <w:rFonts w:ascii="Arial" w:hAnsi="Arial" w:cs="Arial"/>
          <w:sz w:val="21"/>
          <w:szCs w:val="21"/>
        </w:rPr>
        <w:t>% each). There will be no cumulative final exam.</w:t>
      </w:r>
    </w:p>
    <w:p w:rsidR="00C272BD" w:rsidRPr="00BB180F" w:rsidRDefault="00BB2896" w:rsidP="00C272BD">
      <w:pPr>
        <w:ind w:left="288" w:hanging="288"/>
        <w:jc w:val="both"/>
        <w:rPr>
          <w:rFonts w:ascii="Arial" w:hAnsi="Arial" w:cs="Arial"/>
          <w:sz w:val="21"/>
          <w:szCs w:val="21"/>
        </w:rPr>
      </w:pPr>
      <w:r w:rsidRPr="00BB180F">
        <w:rPr>
          <w:rFonts w:ascii="Arial" w:hAnsi="Arial" w:cs="Arial"/>
          <w:sz w:val="21"/>
          <w:szCs w:val="21"/>
        </w:rPr>
        <w:t xml:space="preserve"> </w:t>
      </w:r>
    </w:p>
    <w:p w:rsidR="00BB180F" w:rsidRDefault="00BB2896" w:rsidP="002C16B6">
      <w:pPr>
        <w:spacing w:before="80"/>
        <w:ind w:left="285" w:hanging="285"/>
        <w:jc w:val="both"/>
        <w:rPr>
          <w:rFonts w:ascii="Arial" w:hAnsi="Arial" w:cs="Arial"/>
          <w:sz w:val="21"/>
          <w:szCs w:val="21"/>
        </w:rPr>
      </w:pPr>
      <w:r w:rsidRPr="00BB180F">
        <w:rPr>
          <w:rFonts w:ascii="Arial" w:hAnsi="Arial" w:cs="Arial"/>
          <w:sz w:val="21"/>
          <w:szCs w:val="21"/>
        </w:rPr>
        <w:t>•</w:t>
      </w:r>
      <w:r w:rsidRPr="00BB180F">
        <w:rPr>
          <w:rFonts w:ascii="Arial" w:hAnsi="Arial" w:cs="Arial"/>
          <w:sz w:val="21"/>
          <w:szCs w:val="21"/>
        </w:rPr>
        <w:tab/>
        <w:t>The tentative grading scale for the course</w:t>
      </w:r>
      <w:r w:rsidR="00BB180F">
        <w:rPr>
          <w:rFonts w:ascii="Arial" w:hAnsi="Arial" w:cs="Arial"/>
          <w:sz w:val="21"/>
          <w:szCs w:val="21"/>
        </w:rPr>
        <w:t>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905"/>
        <w:gridCol w:w="360"/>
        <w:gridCol w:w="540"/>
        <w:gridCol w:w="805"/>
      </w:tblGrid>
      <w:tr w:rsidR="00440C0B" w:rsidRPr="00BB180F" w:rsidTr="00440C0B">
        <w:trPr>
          <w:jc w:val="center"/>
        </w:trPr>
        <w:tc>
          <w:tcPr>
            <w:tcW w:w="535" w:type="dxa"/>
          </w:tcPr>
          <w:p w:rsidR="00BB180F" w:rsidRDefault="00BB180F" w:rsidP="00BB180F">
            <w:pPr>
              <w:pStyle w:val="BodyTextIndent"/>
              <w:spacing w:before="40" w:line="240" w:lineRule="auto"/>
              <w:ind w:left="0" w:firstLine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</w:p>
          <w:p w:rsidR="00BB180F" w:rsidRDefault="00BB180F" w:rsidP="00BB180F">
            <w:pPr>
              <w:pStyle w:val="BodyTextIndent"/>
              <w:spacing w:before="40" w:line="240" w:lineRule="auto"/>
              <w:ind w:left="0" w:firstLine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A-</w:t>
            </w:r>
          </w:p>
          <w:p w:rsidR="00BB180F" w:rsidRDefault="00BB180F" w:rsidP="00BB180F">
            <w:pPr>
              <w:pStyle w:val="BodyTextIndent"/>
              <w:spacing w:before="40" w:line="240" w:lineRule="auto"/>
              <w:ind w:left="0" w:firstLine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B+</w:t>
            </w:r>
          </w:p>
          <w:p w:rsidR="00BB180F" w:rsidRDefault="00BB180F" w:rsidP="00BB180F">
            <w:pPr>
              <w:pStyle w:val="BodyTextIndent"/>
              <w:spacing w:before="40" w:line="240" w:lineRule="auto"/>
              <w:ind w:left="0" w:firstLine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</w:p>
          <w:p w:rsidR="00BB180F" w:rsidRDefault="00BB180F" w:rsidP="00BB180F">
            <w:pPr>
              <w:pStyle w:val="BodyTextIndent"/>
              <w:spacing w:before="40" w:line="240" w:lineRule="auto"/>
              <w:ind w:left="0" w:firstLine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B-</w:t>
            </w:r>
          </w:p>
          <w:p w:rsidR="00BB180F" w:rsidRDefault="00BB180F" w:rsidP="00BB180F">
            <w:pPr>
              <w:pStyle w:val="BodyTextIndent"/>
              <w:spacing w:before="40" w:line="240" w:lineRule="auto"/>
              <w:ind w:left="0" w:firstLine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C+</w:t>
            </w:r>
          </w:p>
        </w:tc>
        <w:tc>
          <w:tcPr>
            <w:tcW w:w="905" w:type="dxa"/>
          </w:tcPr>
          <w:p w:rsidR="00440C0B" w:rsidRDefault="00440C0B" w:rsidP="00440C0B">
            <w:pPr>
              <w:pStyle w:val="BodyTextIndent"/>
              <w:spacing w:before="4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93-100</w:t>
            </w:r>
          </w:p>
          <w:p w:rsidR="00440C0B" w:rsidRPr="00440C0B" w:rsidRDefault="00440C0B" w:rsidP="00440C0B">
            <w:pPr>
              <w:pStyle w:val="BodyTextIndent"/>
              <w:spacing w:before="4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90-92</w:t>
            </w:r>
          </w:p>
          <w:p w:rsidR="00440C0B" w:rsidRPr="00440C0B" w:rsidRDefault="00440C0B" w:rsidP="00440C0B">
            <w:pPr>
              <w:pStyle w:val="BodyTextIndent"/>
              <w:spacing w:before="40" w:line="240" w:lineRule="auto"/>
              <w:jc w:val="both"/>
              <w:rPr>
                <w:rFonts w:ascii="Arial" w:hAnsi="Arial" w:cs="Arial"/>
                <w:sz w:val="20"/>
              </w:rPr>
            </w:pPr>
            <w:r w:rsidRPr="00440C0B">
              <w:rPr>
                <w:rFonts w:ascii="Arial" w:hAnsi="Arial" w:cs="Arial"/>
                <w:sz w:val="20"/>
              </w:rPr>
              <w:t>87-89</w:t>
            </w:r>
          </w:p>
          <w:p w:rsidR="00440C0B" w:rsidRPr="00440C0B" w:rsidRDefault="00440C0B" w:rsidP="00440C0B">
            <w:pPr>
              <w:pStyle w:val="BodyTextIndent"/>
              <w:spacing w:before="40" w:line="240" w:lineRule="auto"/>
              <w:jc w:val="both"/>
              <w:rPr>
                <w:rFonts w:ascii="Arial" w:hAnsi="Arial" w:cs="Arial"/>
                <w:sz w:val="20"/>
              </w:rPr>
            </w:pPr>
            <w:r w:rsidRPr="00440C0B">
              <w:rPr>
                <w:rFonts w:ascii="Arial" w:hAnsi="Arial" w:cs="Arial"/>
                <w:sz w:val="20"/>
              </w:rPr>
              <w:t>83-86</w:t>
            </w:r>
          </w:p>
          <w:p w:rsidR="00440C0B" w:rsidRPr="00440C0B" w:rsidRDefault="00440C0B" w:rsidP="00440C0B">
            <w:pPr>
              <w:pStyle w:val="BodyTextIndent"/>
              <w:spacing w:before="40" w:line="240" w:lineRule="auto"/>
              <w:jc w:val="both"/>
              <w:rPr>
                <w:rFonts w:ascii="Arial" w:hAnsi="Arial" w:cs="Arial"/>
                <w:sz w:val="20"/>
              </w:rPr>
            </w:pPr>
            <w:r w:rsidRPr="00440C0B">
              <w:rPr>
                <w:rFonts w:ascii="Arial" w:hAnsi="Arial" w:cs="Arial"/>
                <w:sz w:val="20"/>
              </w:rPr>
              <w:t>80-82</w:t>
            </w:r>
          </w:p>
          <w:p w:rsidR="00BB180F" w:rsidRPr="00BB180F" w:rsidRDefault="00440C0B" w:rsidP="00440C0B">
            <w:pPr>
              <w:pStyle w:val="BodyTextIndent"/>
              <w:spacing w:before="40" w:line="240" w:lineRule="auto"/>
              <w:ind w:left="0" w:firstLine="0"/>
              <w:jc w:val="both"/>
              <w:rPr>
                <w:rFonts w:ascii="Arial" w:hAnsi="Arial" w:cs="Arial"/>
                <w:sz w:val="20"/>
              </w:rPr>
            </w:pPr>
            <w:r w:rsidRPr="00440C0B">
              <w:rPr>
                <w:rFonts w:ascii="Arial" w:hAnsi="Arial" w:cs="Arial"/>
                <w:sz w:val="20"/>
              </w:rPr>
              <w:t>77-79</w:t>
            </w:r>
          </w:p>
        </w:tc>
        <w:tc>
          <w:tcPr>
            <w:tcW w:w="360" w:type="dxa"/>
          </w:tcPr>
          <w:p w:rsidR="00BB180F" w:rsidRPr="00BB180F" w:rsidRDefault="00BB180F" w:rsidP="00BB180F">
            <w:pPr>
              <w:pStyle w:val="BodyTextIndent"/>
              <w:spacing w:before="40" w:line="240" w:lineRule="auto"/>
              <w:ind w:left="0" w:firstLine="0"/>
              <w:jc w:val="bot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40" w:type="dxa"/>
          </w:tcPr>
          <w:p w:rsidR="00BB180F" w:rsidRDefault="00BB180F" w:rsidP="00BB180F">
            <w:pPr>
              <w:pStyle w:val="BodyTextIndent"/>
              <w:spacing w:before="40" w:line="240" w:lineRule="auto"/>
              <w:ind w:left="0" w:firstLine="0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</w:t>
            </w:r>
          </w:p>
          <w:p w:rsidR="00BB180F" w:rsidRDefault="00BB180F" w:rsidP="00BB180F">
            <w:pPr>
              <w:pStyle w:val="BodyTextIndent"/>
              <w:spacing w:before="40" w:line="240" w:lineRule="auto"/>
              <w:ind w:left="0" w:firstLine="0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C-</w:t>
            </w:r>
          </w:p>
          <w:p w:rsidR="00BB180F" w:rsidRDefault="00BB180F" w:rsidP="00BB180F">
            <w:pPr>
              <w:pStyle w:val="BodyTextIndent"/>
              <w:spacing w:before="40" w:line="240" w:lineRule="auto"/>
              <w:ind w:left="0" w:firstLine="0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D+</w:t>
            </w:r>
          </w:p>
          <w:p w:rsidR="00BB180F" w:rsidRDefault="00BB180F" w:rsidP="00BB180F">
            <w:pPr>
              <w:pStyle w:val="BodyTextIndent"/>
              <w:spacing w:before="40" w:line="240" w:lineRule="auto"/>
              <w:ind w:left="0" w:firstLine="0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</w:t>
            </w:r>
          </w:p>
          <w:p w:rsidR="00BB180F" w:rsidRDefault="00BB180F" w:rsidP="00BB180F">
            <w:pPr>
              <w:pStyle w:val="BodyTextIndent"/>
              <w:spacing w:before="40" w:line="240" w:lineRule="auto"/>
              <w:ind w:left="0" w:firstLine="0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D-</w:t>
            </w:r>
          </w:p>
          <w:p w:rsidR="00BB180F" w:rsidRPr="00BB180F" w:rsidRDefault="00BB180F" w:rsidP="00BB180F">
            <w:pPr>
              <w:pStyle w:val="BodyTextIndent"/>
              <w:spacing w:before="40" w:line="240" w:lineRule="auto"/>
              <w:ind w:left="0" w:firstLine="0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</w:t>
            </w:r>
          </w:p>
        </w:tc>
        <w:tc>
          <w:tcPr>
            <w:tcW w:w="805" w:type="dxa"/>
          </w:tcPr>
          <w:p w:rsidR="00440C0B" w:rsidRPr="00440C0B" w:rsidRDefault="00440C0B" w:rsidP="00440C0B">
            <w:pPr>
              <w:pStyle w:val="BodyTextIndent"/>
              <w:spacing w:before="4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73-76</w:t>
            </w:r>
          </w:p>
          <w:p w:rsidR="00440C0B" w:rsidRPr="00440C0B" w:rsidRDefault="00440C0B" w:rsidP="00440C0B">
            <w:pPr>
              <w:pStyle w:val="BodyTextIndent"/>
              <w:spacing w:before="4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70-72</w:t>
            </w:r>
          </w:p>
          <w:p w:rsidR="00440C0B" w:rsidRPr="00440C0B" w:rsidRDefault="00440C0B" w:rsidP="00440C0B">
            <w:pPr>
              <w:pStyle w:val="BodyTextIndent"/>
              <w:spacing w:before="4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67-69</w:t>
            </w:r>
          </w:p>
          <w:p w:rsidR="00440C0B" w:rsidRPr="00440C0B" w:rsidRDefault="00440C0B" w:rsidP="00440C0B">
            <w:pPr>
              <w:pStyle w:val="BodyTextIndent"/>
              <w:spacing w:before="4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63-66</w:t>
            </w:r>
          </w:p>
          <w:p w:rsidR="00440C0B" w:rsidRPr="00440C0B" w:rsidRDefault="00440C0B" w:rsidP="00440C0B">
            <w:pPr>
              <w:pStyle w:val="BodyTextIndent"/>
              <w:spacing w:before="4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60-62</w:t>
            </w:r>
          </w:p>
          <w:p w:rsidR="00BB180F" w:rsidRPr="00BB180F" w:rsidRDefault="00440C0B" w:rsidP="00440C0B">
            <w:pPr>
              <w:pStyle w:val="BodyTextIndent"/>
              <w:spacing w:before="40" w:line="240" w:lineRule="auto"/>
              <w:ind w:left="0" w:firstLine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0-59</w:t>
            </w:r>
          </w:p>
        </w:tc>
      </w:tr>
    </w:tbl>
    <w:p w:rsidR="001935C4" w:rsidRDefault="001935C4" w:rsidP="00523B2A">
      <w:pPr>
        <w:jc w:val="both"/>
        <w:rPr>
          <w:rFonts w:ascii="Arial" w:hAnsi="Arial" w:cs="Arial"/>
          <w:bCs/>
          <w:sz w:val="21"/>
          <w:szCs w:val="21"/>
        </w:rPr>
      </w:pPr>
    </w:p>
    <w:p w:rsidR="00C272BD" w:rsidRDefault="00C272BD" w:rsidP="00523B2A">
      <w:pPr>
        <w:jc w:val="both"/>
        <w:rPr>
          <w:rFonts w:ascii="Arial" w:hAnsi="Arial" w:cs="Arial"/>
          <w:bCs/>
          <w:sz w:val="21"/>
          <w:szCs w:val="21"/>
        </w:rPr>
      </w:pPr>
    </w:p>
    <w:p w:rsidR="00C272BD" w:rsidRDefault="00C272BD" w:rsidP="00523B2A">
      <w:pPr>
        <w:jc w:val="both"/>
        <w:rPr>
          <w:rFonts w:ascii="Arial" w:hAnsi="Arial" w:cs="Arial"/>
          <w:bCs/>
          <w:sz w:val="21"/>
          <w:szCs w:val="21"/>
        </w:rPr>
      </w:pPr>
    </w:p>
    <w:p w:rsidR="00C272BD" w:rsidRDefault="00C272BD" w:rsidP="00523B2A">
      <w:pPr>
        <w:jc w:val="both"/>
        <w:rPr>
          <w:rFonts w:ascii="Arial" w:hAnsi="Arial" w:cs="Arial"/>
          <w:bCs/>
          <w:sz w:val="21"/>
          <w:szCs w:val="21"/>
        </w:rPr>
      </w:pPr>
    </w:p>
    <w:p w:rsidR="008B04FE" w:rsidRPr="00BB180F" w:rsidRDefault="008B04FE" w:rsidP="00523B2A">
      <w:pPr>
        <w:jc w:val="both"/>
        <w:rPr>
          <w:rFonts w:ascii="Arial" w:hAnsi="Arial" w:cs="Arial"/>
          <w:bCs/>
          <w:sz w:val="21"/>
          <w:szCs w:val="21"/>
        </w:rPr>
      </w:pPr>
      <w:r w:rsidRPr="00BB180F">
        <w:rPr>
          <w:rFonts w:ascii="Arial" w:hAnsi="Arial" w:cs="Arial"/>
          <w:b/>
          <w:bCs/>
          <w:sz w:val="21"/>
          <w:szCs w:val="21"/>
        </w:rPr>
        <w:t>Tentative Schedule of Lectures</w:t>
      </w:r>
    </w:p>
    <w:p w:rsidR="008B04FE" w:rsidRPr="00BB180F" w:rsidRDefault="008B04FE" w:rsidP="00523B2A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jc w:val="center"/>
        <w:tblBorders>
          <w:top w:val="dashed" w:sz="4" w:space="0" w:color="auto"/>
          <w:bottom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908"/>
        <w:gridCol w:w="250"/>
        <w:gridCol w:w="3770"/>
      </w:tblGrid>
      <w:tr w:rsidR="000C77C9" w:rsidRPr="00BB180F" w:rsidTr="00C272BD">
        <w:trPr>
          <w:jc w:val="center"/>
        </w:trPr>
        <w:tc>
          <w:tcPr>
            <w:tcW w:w="908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0C77C9" w:rsidRPr="00BB180F" w:rsidRDefault="000C77C9" w:rsidP="00A415FA">
            <w:pPr>
              <w:jc w:val="center"/>
              <w:rPr>
                <w:rFonts w:ascii="Arial" w:hAnsi="Arial" w:cs="Arial"/>
              </w:rPr>
            </w:pPr>
            <w:r w:rsidRPr="00BB180F">
              <w:rPr>
                <w:rFonts w:ascii="Arial" w:hAnsi="Arial" w:cs="Arial"/>
              </w:rPr>
              <w:t>Week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0C77C9" w:rsidRPr="00BB180F" w:rsidRDefault="000C77C9" w:rsidP="00A415FA">
            <w:pPr>
              <w:ind w:right="-720"/>
              <w:jc w:val="center"/>
              <w:rPr>
                <w:rFonts w:ascii="Arial" w:hAnsi="Arial" w:cs="Arial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0C77C9" w:rsidRPr="00BB180F" w:rsidRDefault="000C77C9" w:rsidP="00B04DE0">
            <w:pPr>
              <w:jc w:val="center"/>
              <w:rPr>
                <w:rFonts w:ascii="Arial" w:hAnsi="Arial" w:cs="Arial"/>
              </w:rPr>
            </w:pPr>
            <w:r w:rsidRPr="00BB180F">
              <w:rPr>
                <w:rFonts w:ascii="Arial" w:hAnsi="Arial" w:cs="Arial"/>
              </w:rPr>
              <w:t>Topic</w:t>
            </w:r>
          </w:p>
        </w:tc>
      </w:tr>
      <w:tr w:rsidR="009872DF" w:rsidRPr="00BB180F" w:rsidTr="00C272BD">
        <w:trPr>
          <w:jc w:val="center"/>
        </w:trPr>
        <w:tc>
          <w:tcPr>
            <w:tcW w:w="908" w:type="dxa"/>
            <w:tcBorders>
              <w:top w:val="single" w:sz="4" w:space="0" w:color="auto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9872DF" w:rsidRPr="00BB180F" w:rsidRDefault="001E3AF9" w:rsidP="006F5FB7">
            <w:pPr>
              <w:jc w:val="center"/>
              <w:rPr>
                <w:rFonts w:ascii="Arial" w:hAnsi="Arial" w:cs="Arial"/>
              </w:rPr>
            </w:pPr>
            <w:r w:rsidRPr="00BB180F">
              <w:rPr>
                <w:rFonts w:ascii="Arial" w:hAnsi="Arial" w:cs="Arial"/>
              </w:rPr>
              <w:t xml:space="preserve">Jan </w:t>
            </w:r>
            <w:r w:rsidR="006F5FB7" w:rsidRPr="00BB180F">
              <w:rPr>
                <w:rFonts w:ascii="Arial" w:hAnsi="Arial" w:cs="Arial"/>
              </w:rPr>
              <w:t>11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9872DF" w:rsidRPr="00BB180F" w:rsidRDefault="009872DF" w:rsidP="00A415FA">
            <w:pPr>
              <w:ind w:right="-720"/>
              <w:jc w:val="center"/>
              <w:rPr>
                <w:rFonts w:ascii="Arial" w:hAnsi="Arial" w:cs="Arial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A31092" w:rsidRPr="00BB180F" w:rsidRDefault="00BE02E3" w:rsidP="00DD3A12">
            <w:pPr>
              <w:jc w:val="center"/>
              <w:rPr>
                <w:rFonts w:ascii="Arial" w:hAnsi="Arial" w:cs="Arial"/>
              </w:rPr>
            </w:pPr>
            <w:r w:rsidRPr="00BB180F">
              <w:rPr>
                <w:rFonts w:ascii="Arial" w:hAnsi="Arial" w:cs="Arial"/>
              </w:rPr>
              <w:t>An introduction to drugs</w:t>
            </w:r>
            <w:r w:rsidR="00CB5947" w:rsidRPr="00BB180F">
              <w:rPr>
                <w:rFonts w:ascii="Arial" w:hAnsi="Arial" w:cs="Arial"/>
              </w:rPr>
              <w:t xml:space="preserve"> (</w:t>
            </w:r>
            <w:r w:rsidRPr="00BB180F">
              <w:rPr>
                <w:rFonts w:ascii="Arial" w:hAnsi="Arial" w:cs="Arial"/>
              </w:rPr>
              <w:t>c</w:t>
            </w:r>
            <w:r w:rsidR="00EB6FD5" w:rsidRPr="00BB180F">
              <w:rPr>
                <w:rFonts w:ascii="Arial" w:hAnsi="Arial" w:cs="Arial"/>
              </w:rPr>
              <w:t>hapter 1</w:t>
            </w:r>
            <w:r w:rsidR="00CB5947" w:rsidRPr="00BB180F">
              <w:rPr>
                <w:rFonts w:ascii="Arial" w:hAnsi="Arial" w:cs="Arial"/>
              </w:rPr>
              <w:t>)</w:t>
            </w:r>
          </w:p>
        </w:tc>
      </w:tr>
      <w:tr w:rsidR="009872DF" w:rsidRPr="00BB180F" w:rsidTr="00C272BD">
        <w:trPr>
          <w:jc w:val="center"/>
        </w:trPr>
        <w:tc>
          <w:tcPr>
            <w:tcW w:w="908" w:type="dxa"/>
            <w:tcBorders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9872DF" w:rsidRPr="00BB180F" w:rsidRDefault="009872DF" w:rsidP="00DD3F7C">
            <w:pPr>
              <w:jc w:val="center"/>
              <w:rPr>
                <w:rFonts w:ascii="Arial" w:hAnsi="Arial" w:cs="Arial"/>
              </w:rPr>
            </w:pPr>
            <w:r w:rsidRPr="00BB180F">
              <w:rPr>
                <w:rFonts w:ascii="Arial" w:hAnsi="Arial" w:cs="Arial"/>
              </w:rPr>
              <w:t xml:space="preserve">Jan </w:t>
            </w:r>
            <w:r w:rsidR="00764230" w:rsidRPr="00BB180F">
              <w:rPr>
                <w:rFonts w:ascii="Arial" w:hAnsi="Arial" w:cs="Arial"/>
              </w:rPr>
              <w:t>1</w:t>
            </w:r>
            <w:r w:rsidR="006F5FB7" w:rsidRPr="00BB180F">
              <w:rPr>
                <w:rFonts w:ascii="Arial" w:hAnsi="Arial" w:cs="Arial"/>
              </w:rPr>
              <w:t>8</w:t>
            </w:r>
          </w:p>
        </w:tc>
        <w:tc>
          <w:tcPr>
            <w:tcW w:w="236" w:type="dxa"/>
            <w:tcBorders>
              <w:left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9872DF" w:rsidRPr="00BB180F" w:rsidRDefault="009872DF" w:rsidP="00A415FA">
            <w:pPr>
              <w:ind w:right="-720"/>
              <w:jc w:val="center"/>
              <w:rPr>
                <w:rFonts w:ascii="Arial" w:hAnsi="Arial" w:cs="Arial"/>
              </w:rPr>
            </w:pPr>
          </w:p>
        </w:tc>
        <w:tc>
          <w:tcPr>
            <w:tcW w:w="3770" w:type="dxa"/>
            <w:tcBorders>
              <w:lef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A31092" w:rsidRPr="00BB180F" w:rsidRDefault="00CB1BF3" w:rsidP="009C1441">
            <w:pPr>
              <w:jc w:val="center"/>
              <w:rPr>
                <w:rFonts w:ascii="Arial" w:hAnsi="Arial" w:cs="Arial"/>
              </w:rPr>
            </w:pPr>
            <w:r w:rsidRPr="00BB180F">
              <w:rPr>
                <w:rFonts w:ascii="Arial" w:hAnsi="Arial" w:cs="Arial"/>
              </w:rPr>
              <w:t>MLK Day (Jan 18) – no class</w:t>
            </w:r>
          </w:p>
        </w:tc>
      </w:tr>
      <w:tr w:rsidR="009872DF" w:rsidRPr="00BB180F" w:rsidTr="00C272BD">
        <w:trPr>
          <w:jc w:val="center"/>
        </w:trPr>
        <w:tc>
          <w:tcPr>
            <w:tcW w:w="908" w:type="dxa"/>
            <w:tcBorders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9872DF" w:rsidRPr="00BB180F" w:rsidRDefault="009872DF" w:rsidP="00A415FA">
            <w:pPr>
              <w:jc w:val="center"/>
              <w:rPr>
                <w:rFonts w:ascii="Arial" w:hAnsi="Arial" w:cs="Arial"/>
              </w:rPr>
            </w:pPr>
            <w:r w:rsidRPr="00BB180F">
              <w:rPr>
                <w:rFonts w:ascii="Arial" w:hAnsi="Arial" w:cs="Arial"/>
              </w:rPr>
              <w:t xml:space="preserve">Jan </w:t>
            </w:r>
            <w:r w:rsidR="006F5FB7" w:rsidRPr="00BB180F">
              <w:rPr>
                <w:rFonts w:ascii="Arial" w:hAnsi="Arial" w:cs="Arial"/>
              </w:rPr>
              <w:t>25</w:t>
            </w:r>
          </w:p>
        </w:tc>
        <w:tc>
          <w:tcPr>
            <w:tcW w:w="236" w:type="dxa"/>
            <w:tcBorders>
              <w:left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9872DF" w:rsidRPr="00BB180F" w:rsidRDefault="009872DF" w:rsidP="00A415FA">
            <w:pPr>
              <w:ind w:right="-720"/>
              <w:jc w:val="center"/>
              <w:rPr>
                <w:rFonts w:ascii="Arial" w:hAnsi="Arial" w:cs="Arial"/>
              </w:rPr>
            </w:pPr>
          </w:p>
        </w:tc>
        <w:tc>
          <w:tcPr>
            <w:tcW w:w="3770" w:type="dxa"/>
            <w:tcBorders>
              <w:lef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A31092" w:rsidRPr="00BB180F" w:rsidRDefault="00CB1BF3" w:rsidP="00BE02E3">
            <w:pPr>
              <w:jc w:val="center"/>
              <w:rPr>
                <w:rFonts w:ascii="Arial" w:hAnsi="Arial" w:cs="Arial"/>
              </w:rPr>
            </w:pPr>
            <w:r w:rsidRPr="00BB180F">
              <w:rPr>
                <w:rFonts w:ascii="Arial" w:hAnsi="Arial" w:cs="Arial"/>
              </w:rPr>
              <w:t>Drug structure and solubility (chapter 2)</w:t>
            </w:r>
          </w:p>
        </w:tc>
      </w:tr>
      <w:tr w:rsidR="006F5FB7" w:rsidRPr="00BB180F" w:rsidTr="00C272BD">
        <w:trPr>
          <w:jc w:val="center"/>
        </w:trPr>
        <w:tc>
          <w:tcPr>
            <w:tcW w:w="908" w:type="dxa"/>
            <w:tcBorders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6F5FB7" w:rsidRPr="00BB180F" w:rsidRDefault="006F5FB7" w:rsidP="006F5FB7">
            <w:pPr>
              <w:jc w:val="center"/>
              <w:rPr>
                <w:rFonts w:ascii="Arial" w:hAnsi="Arial" w:cs="Arial"/>
              </w:rPr>
            </w:pPr>
            <w:r w:rsidRPr="00BB180F">
              <w:rPr>
                <w:rFonts w:ascii="Arial" w:hAnsi="Arial" w:cs="Arial"/>
              </w:rPr>
              <w:t>Feb 1</w:t>
            </w:r>
          </w:p>
        </w:tc>
        <w:tc>
          <w:tcPr>
            <w:tcW w:w="236" w:type="dxa"/>
            <w:tcBorders>
              <w:left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6F5FB7" w:rsidRPr="00BB180F" w:rsidRDefault="006F5FB7" w:rsidP="006F5FB7">
            <w:pPr>
              <w:ind w:right="-720"/>
              <w:jc w:val="center"/>
              <w:rPr>
                <w:rFonts w:ascii="Arial" w:hAnsi="Arial" w:cs="Arial"/>
              </w:rPr>
            </w:pPr>
          </w:p>
        </w:tc>
        <w:tc>
          <w:tcPr>
            <w:tcW w:w="3770" w:type="dxa"/>
            <w:tcBorders>
              <w:lef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6F5FB7" w:rsidRPr="00BB180F" w:rsidRDefault="00C272BD" w:rsidP="00C272BD">
            <w:pPr>
              <w:jc w:val="center"/>
              <w:rPr>
                <w:rFonts w:ascii="Arial" w:hAnsi="Arial" w:cs="Arial"/>
              </w:rPr>
            </w:pPr>
            <w:r w:rsidRPr="00BB180F">
              <w:rPr>
                <w:rFonts w:ascii="Arial" w:hAnsi="Arial" w:cs="Arial"/>
              </w:rPr>
              <w:t>Drug structure and solubility (chapter 2)</w:t>
            </w:r>
          </w:p>
        </w:tc>
      </w:tr>
      <w:tr w:rsidR="006F5FB7" w:rsidRPr="00BB180F" w:rsidTr="00C272BD">
        <w:trPr>
          <w:jc w:val="center"/>
        </w:trPr>
        <w:tc>
          <w:tcPr>
            <w:tcW w:w="908" w:type="dxa"/>
            <w:tcBorders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6F5FB7" w:rsidRPr="00BB180F" w:rsidRDefault="006F5FB7" w:rsidP="006F5FB7">
            <w:pPr>
              <w:jc w:val="center"/>
              <w:rPr>
                <w:rFonts w:ascii="Arial" w:hAnsi="Arial" w:cs="Arial"/>
              </w:rPr>
            </w:pPr>
            <w:r w:rsidRPr="00BB180F">
              <w:rPr>
                <w:rFonts w:ascii="Arial" w:hAnsi="Arial" w:cs="Arial"/>
              </w:rPr>
              <w:t>Feb 8</w:t>
            </w:r>
          </w:p>
        </w:tc>
        <w:tc>
          <w:tcPr>
            <w:tcW w:w="236" w:type="dxa"/>
            <w:tcBorders>
              <w:left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6F5FB7" w:rsidRPr="00BB180F" w:rsidRDefault="006F5FB7" w:rsidP="006F5FB7">
            <w:pPr>
              <w:ind w:right="-720"/>
              <w:jc w:val="center"/>
              <w:rPr>
                <w:rFonts w:ascii="Arial" w:hAnsi="Arial" w:cs="Arial"/>
              </w:rPr>
            </w:pPr>
          </w:p>
        </w:tc>
        <w:tc>
          <w:tcPr>
            <w:tcW w:w="3770" w:type="dxa"/>
            <w:tcBorders>
              <w:lef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6F5FB7" w:rsidRPr="00BB180F" w:rsidRDefault="00C272BD" w:rsidP="00BE02E3">
            <w:pPr>
              <w:pStyle w:val="Heading6"/>
              <w:rPr>
                <w:rFonts w:ascii="Arial" w:hAnsi="Arial" w:cs="Arial"/>
                <w:sz w:val="20"/>
              </w:rPr>
            </w:pPr>
            <w:r w:rsidRPr="00C272BD">
              <w:rPr>
                <w:rFonts w:ascii="Arial" w:hAnsi="Arial" w:cs="Arial"/>
                <w:sz w:val="20"/>
              </w:rPr>
              <w:t>SAR (chapter 3)</w:t>
            </w:r>
          </w:p>
        </w:tc>
      </w:tr>
      <w:tr w:rsidR="006F5FB7" w:rsidRPr="00BB180F" w:rsidTr="00C272BD">
        <w:trPr>
          <w:jc w:val="center"/>
        </w:trPr>
        <w:tc>
          <w:tcPr>
            <w:tcW w:w="908" w:type="dxa"/>
            <w:tcBorders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6F5FB7" w:rsidRPr="00BB180F" w:rsidRDefault="006F5FB7" w:rsidP="006F5FB7">
            <w:pPr>
              <w:jc w:val="center"/>
              <w:rPr>
                <w:rFonts w:ascii="Arial" w:hAnsi="Arial" w:cs="Arial"/>
              </w:rPr>
            </w:pPr>
            <w:r w:rsidRPr="00BB180F">
              <w:rPr>
                <w:rFonts w:ascii="Arial" w:hAnsi="Arial" w:cs="Arial"/>
              </w:rPr>
              <w:t>Feb 15</w:t>
            </w:r>
          </w:p>
        </w:tc>
        <w:tc>
          <w:tcPr>
            <w:tcW w:w="236" w:type="dxa"/>
            <w:tcBorders>
              <w:left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6F5FB7" w:rsidRPr="00BB180F" w:rsidRDefault="006F5FB7" w:rsidP="006F5FB7">
            <w:pPr>
              <w:ind w:right="-720"/>
              <w:jc w:val="center"/>
              <w:rPr>
                <w:rFonts w:ascii="Arial" w:hAnsi="Arial" w:cs="Arial"/>
              </w:rPr>
            </w:pPr>
          </w:p>
        </w:tc>
        <w:tc>
          <w:tcPr>
            <w:tcW w:w="3770" w:type="dxa"/>
            <w:tcBorders>
              <w:lef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0C6E9D" w:rsidRPr="00BB180F" w:rsidRDefault="000E6EA7" w:rsidP="000E6EA7">
            <w:pPr>
              <w:jc w:val="center"/>
              <w:rPr>
                <w:rFonts w:ascii="Arial" w:hAnsi="Arial" w:cs="Arial"/>
              </w:rPr>
            </w:pPr>
            <w:r w:rsidRPr="00BB180F">
              <w:rPr>
                <w:rFonts w:ascii="Arial" w:hAnsi="Arial" w:cs="Arial"/>
              </w:rPr>
              <w:t xml:space="preserve">Computer-aided drug design </w:t>
            </w:r>
          </w:p>
          <w:p w:rsidR="006F5FB7" w:rsidRPr="00BB180F" w:rsidRDefault="000E6EA7" w:rsidP="000E6EA7">
            <w:pPr>
              <w:jc w:val="center"/>
              <w:rPr>
                <w:rFonts w:ascii="Arial" w:hAnsi="Arial" w:cs="Arial"/>
              </w:rPr>
            </w:pPr>
            <w:r w:rsidRPr="00BB180F">
              <w:rPr>
                <w:rFonts w:ascii="Arial" w:hAnsi="Arial" w:cs="Arial"/>
              </w:rPr>
              <w:t>(chapter 4)</w:t>
            </w:r>
          </w:p>
        </w:tc>
      </w:tr>
      <w:tr w:rsidR="006F5FB7" w:rsidRPr="00BB180F" w:rsidTr="00C272BD">
        <w:trPr>
          <w:jc w:val="center"/>
        </w:trPr>
        <w:tc>
          <w:tcPr>
            <w:tcW w:w="908" w:type="dxa"/>
            <w:tcBorders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6F5FB7" w:rsidRPr="00BB180F" w:rsidRDefault="006F5FB7" w:rsidP="006F5FB7">
            <w:pPr>
              <w:jc w:val="center"/>
              <w:rPr>
                <w:rFonts w:ascii="Arial" w:hAnsi="Arial" w:cs="Arial"/>
              </w:rPr>
            </w:pPr>
            <w:r w:rsidRPr="00BB180F">
              <w:rPr>
                <w:rFonts w:ascii="Arial" w:hAnsi="Arial" w:cs="Arial"/>
              </w:rPr>
              <w:t>Feb 22</w:t>
            </w:r>
          </w:p>
        </w:tc>
        <w:tc>
          <w:tcPr>
            <w:tcW w:w="236" w:type="dxa"/>
            <w:tcBorders>
              <w:left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6F5FB7" w:rsidRPr="00BB180F" w:rsidRDefault="006F5FB7" w:rsidP="006F5FB7">
            <w:pPr>
              <w:ind w:right="-720"/>
              <w:jc w:val="center"/>
              <w:rPr>
                <w:rFonts w:ascii="Arial" w:hAnsi="Arial" w:cs="Arial"/>
              </w:rPr>
            </w:pPr>
          </w:p>
        </w:tc>
        <w:tc>
          <w:tcPr>
            <w:tcW w:w="3770" w:type="dxa"/>
            <w:tcBorders>
              <w:lef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6F5FB7" w:rsidRPr="00BB180F" w:rsidRDefault="00BE02E3" w:rsidP="00BB2896">
            <w:pPr>
              <w:jc w:val="center"/>
              <w:rPr>
                <w:rFonts w:ascii="Arial" w:hAnsi="Arial" w:cs="Arial"/>
              </w:rPr>
            </w:pPr>
            <w:r w:rsidRPr="00BB180F">
              <w:rPr>
                <w:rFonts w:ascii="Arial" w:hAnsi="Arial" w:cs="Arial"/>
              </w:rPr>
              <w:t>Combinatorial chemistry</w:t>
            </w:r>
            <w:r w:rsidR="00BB2896" w:rsidRPr="00BB180F">
              <w:rPr>
                <w:rFonts w:ascii="Arial" w:hAnsi="Arial" w:cs="Arial"/>
              </w:rPr>
              <w:t xml:space="preserve"> </w:t>
            </w:r>
            <w:r w:rsidR="006F5FB7" w:rsidRPr="00BB180F">
              <w:rPr>
                <w:rFonts w:ascii="Arial" w:hAnsi="Arial" w:cs="Arial"/>
              </w:rPr>
              <w:t>(chapter 5)</w:t>
            </w:r>
          </w:p>
        </w:tc>
      </w:tr>
      <w:tr w:rsidR="006F5FB7" w:rsidRPr="00BB180F" w:rsidTr="00C272BD">
        <w:trPr>
          <w:jc w:val="center"/>
        </w:trPr>
        <w:tc>
          <w:tcPr>
            <w:tcW w:w="908" w:type="dxa"/>
            <w:tcBorders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6F5FB7" w:rsidRPr="00BB180F" w:rsidRDefault="006F5FB7" w:rsidP="006F5FB7">
            <w:pPr>
              <w:jc w:val="center"/>
              <w:rPr>
                <w:rFonts w:ascii="Arial" w:hAnsi="Arial" w:cs="Arial"/>
              </w:rPr>
            </w:pPr>
            <w:r w:rsidRPr="00BB180F">
              <w:rPr>
                <w:rFonts w:ascii="Arial" w:hAnsi="Arial" w:cs="Arial"/>
              </w:rPr>
              <w:t>Feb 29</w:t>
            </w:r>
          </w:p>
        </w:tc>
        <w:tc>
          <w:tcPr>
            <w:tcW w:w="236" w:type="dxa"/>
            <w:tcBorders>
              <w:left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6F5FB7" w:rsidRPr="00BB180F" w:rsidRDefault="006F5FB7" w:rsidP="006F5FB7">
            <w:pPr>
              <w:ind w:right="-720"/>
              <w:jc w:val="center"/>
              <w:rPr>
                <w:rFonts w:ascii="Arial" w:hAnsi="Arial" w:cs="Arial"/>
              </w:rPr>
            </w:pPr>
          </w:p>
        </w:tc>
        <w:tc>
          <w:tcPr>
            <w:tcW w:w="3770" w:type="dxa"/>
            <w:tcBorders>
              <w:lef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6F5FB7" w:rsidRPr="00BB180F" w:rsidRDefault="000C6E9D" w:rsidP="000C6E9D">
            <w:pPr>
              <w:jc w:val="center"/>
              <w:rPr>
                <w:rFonts w:ascii="Arial" w:hAnsi="Arial" w:cs="Arial"/>
              </w:rPr>
            </w:pPr>
            <w:r w:rsidRPr="00BB180F">
              <w:rPr>
                <w:rFonts w:ascii="Arial" w:hAnsi="Arial" w:cs="Arial"/>
                <w:i/>
                <w:iCs/>
              </w:rPr>
              <w:t xml:space="preserve">Exam 1 </w:t>
            </w:r>
            <w:r w:rsidRPr="00BB180F">
              <w:rPr>
                <w:rFonts w:ascii="Arial" w:hAnsi="Arial" w:cs="Arial"/>
              </w:rPr>
              <w:t>(Mar 2)</w:t>
            </w:r>
          </w:p>
        </w:tc>
      </w:tr>
      <w:tr w:rsidR="006F5FB7" w:rsidRPr="00BB180F" w:rsidTr="00C272BD">
        <w:trPr>
          <w:jc w:val="center"/>
        </w:trPr>
        <w:tc>
          <w:tcPr>
            <w:tcW w:w="908" w:type="dxa"/>
            <w:tcBorders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6F5FB7" w:rsidRPr="00BB180F" w:rsidRDefault="006F5FB7" w:rsidP="006F5FB7">
            <w:pPr>
              <w:jc w:val="center"/>
              <w:rPr>
                <w:rFonts w:ascii="Arial" w:hAnsi="Arial" w:cs="Arial"/>
              </w:rPr>
            </w:pPr>
            <w:r w:rsidRPr="00BB180F">
              <w:rPr>
                <w:rFonts w:ascii="Arial" w:hAnsi="Arial" w:cs="Arial"/>
              </w:rPr>
              <w:t>Mar 7</w:t>
            </w:r>
          </w:p>
        </w:tc>
        <w:tc>
          <w:tcPr>
            <w:tcW w:w="236" w:type="dxa"/>
            <w:tcBorders>
              <w:left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6F5FB7" w:rsidRPr="00BB180F" w:rsidRDefault="006F5FB7" w:rsidP="006F5FB7">
            <w:pPr>
              <w:ind w:right="-720"/>
              <w:jc w:val="center"/>
              <w:rPr>
                <w:rFonts w:ascii="Arial" w:hAnsi="Arial" w:cs="Arial"/>
              </w:rPr>
            </w:pPr>
          </w:p>
        </w:tc>
        <w:tc>
          <w:tcPr>
            <w:tcW w:w="3770" w:type="dxa"/>
            <w:tcBorders>
              <w:lef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6F5FB7" w:rsidRPr="00BB180F" w:rsidRDefault="006F5FB7" w:rsidP="006F5FB7">
            <w:pPr>
              <w:jc w:val="center"/>
              <w:rPr>
                <w:rFonts w:ascii="Arial" w:hAnsi="Arial" w:cs="Arial"/>
              </w:rPr>
            </w:pPr>
            <w:r w:rsidRPr="00BB180F">
              <w:rPr>
                <w:rFonts w:ascii="Arial" w:hAnsi="Arial" w:cs="Arial"/>
              </w:rPr>
              <w:t>Spring Break</w:t>
            </w:r>
          </w:p>
        </w:tc>
      </w:tr>
      <w:tr w:rsidR="006F5FB7" w:rsidRPr="00BB180F" w:rsidTr="00C272BD">
        <w:trPr>
          <w:jc w:val="center"/>
        </w:trPr>
        <w:tc>
          <w:tcPr>
            <w:tcW w:w="908" w:type="dxa"/>
            <w:tcBorders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6F5FB7" w:rsidRPr="00BB180F" w:rsidRDefault="006F5FB7" w:rsidP="006F5FB7">
            <w:pPr>
              <w:jc w:val="center"/>
              <w:rPr>
                <w:rFonts w:ascii="Arial" w:hAnsi="Arial" w:cs="Arial"/>
              </w:rPr>
            </w:pPr>
            <w:r w:rsidRPr="00BB180F">
              <w:rPr>
                <w:rFonts w:ascii="Arial" w:hAnsi="Arial" w:cs="Arial"/>
              </w:rPr>
              <w:t>Mar 14</w:t>
            </w:r>
          </w:p>
        </w:tc>
        <w:tc>
          <w:tcPr>
            <w:tcW w:w="236" w:type="dxa"/>
            <w:tcBorders>
              <w:left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6F5FB7" w:rsidRPr="00BB180F" w:rsidRDefault="006F5FB7" w:rsidP="006F5FB7">
            <w:pPr>
              <w:ind w:right="-720"/>
              <w:jc w:val="center"/>
              <w:rPr>
                <w:rFonts w:ascii="Arial" w:hAnsi="Arial" w:cs="Arial"/>
              </w:rPr>
            </w:pPr>
          </w:p>
        </w:tc>
        <w:tc>
          <w:tcPr>
            <w:tcW w:w="3770" w:type="dxa"/>
            <w:tcBorders>
              <w:lef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6F5FB7" w:rsidRPr="00BB180F" w:rsidRDefault="0086154A" w:rsidP="00BB2896">
            <w:pPr>
              <w:jc w:val="center"/>
              <w:rPr>
                <w:rFonts w:ascii="Arial" w:hAnsi="Arial" w:cs="Arial"/>
              </w:rPr>
            </w:pPr>
            <w:r w:rsidRPr="00BB180F">
              <w:rPr>
                <w:rFonts w:ascii="Arial" w:hAnsi="Arial" w:cs="Arial"/>
              </w:rPr>
              <w:t>Biological membranes (chapter 7)</w:t>
            </w:r>
          </w:p>
        </w:tc>
      </w:tr>
      <w:tr w:rsidR="006F5FB7" w:rsidRPr="00BB180F" w:rsidTr="00C272BD">
        <w:trPr>
          <w:jc w:val="center"/>
        </w:trPr>
        <w:tc>
          <w:tcPr>
            <w:tcW w:w="908" w:type="dxa"/>
            <w:tcBorders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6F5FB7" w:rsidRPr="00BB180F" w:rsidRDefault="006F5FB7" w:rsidP="006F5FB7">
            <w:pPr>
              <w:jc w:val="center"/>
              <w:rPr>
                <w:rFonts w:ascii="Arial" w:hAnsi="Arial" w:cs="Arial"/>
              </w:rPr>
            </w:pPr>
            <w:r w:rsidRPr="00BB180F">
              <w:rPr>
                <w:rFonts w:ascii="Arial" w:hAnsi="Arial" w:cs="Arial"/>
              </w:rPr>
              <w:t>Mar 21</w:t>
            </w:r>
          </w:p>
        </w:tc>
        <w:tc>
          <w:tcPr>
            <w:tcW w:w="236" w:type="dxa"/>
            <w:tcBorders>
              <w:left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6F5FB7" w:rsidRPr="00BB180F" w:rsidRDefault="006F5FB7" w:rsidP="006F5FB7">
            <w:pPr>
              <w:ind w:right="-720"/>
              <w:jc w:val="center"/>
              <w:rPr>
                <w:rFonts w:ascii="Arial" w:hAnsi="Arial" w:cs="Arial"/>
              </w:rPr>
            </w:pPr>
          </w:p>
        </w:tc>
        <w:tc>
          <w:tcPr>
            <w:tcW w:w="3770" w:type="dxa"/>
            <w:tcBorders>
              <w:lef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6F5FB7" w:rsidRPr="00BB180F" w:rsidRDefault="00C272BD" w:rsidP="00BB2896">
            <w:pPr>
              <w:jc w:val="center"/>
              <w:rPr>
                <w:rFonts w:ascii="Arial" w:hAnsi="Arial" w:cs="Arial"/>
              </w:rPr>
            </w:pPr>
            <w:r w:rsidRPr="00BB180F">
              <w:rPr>
                <w:rFonts w:ascii="Arial" w:hAnsi="Arial" w:cs="Arial"/>
              </w:rPr>
              <w:t>Biological membranes (chapter 7)</w:t>
            </w:r>
          </w:p>
        </w:tc>
      </w:tr>
      <w:tr w:rsidR="006F5FB7" w:rsidRPr="00BB180F" w:rsidTr="00C272BD">
        <w:trPr>
          <w:jc w:val="center"/>
        </w:trPr>
        <w:tc>
          <w:tcPr>
            <w:tcW w:w="908" w:type="dxa"/>
            <w:tcBorders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6F5FB7" w:rsidRPr="00BB180F" w:rsidRDefault="006F5FB7" w:rsidP="006F5FB7">
            <w:pPr>
              <w:jc w:val="center"/>
              <w:rPr>
                <w:rFonts w:ascii="Arial" w:hAnsi="Arial" w:cs="Arial"/>
              </w:rPr>
            </w:pPr>
            <w:r w:rsidRPr="00BB180F">
              <w:rPr>
                <w:rFonts w:ascii="Arial" w:hAnsi="Arial" w:cs="Arial"/>
              </w:rPr>
              <w:t>Mar 28</w:t>
            </w:r>
          </w:p>
        </w:tc>
        <w:tc>
          <w:tcPr>
            <w:tcW w:w="236" w:type="dxa"/>
            <w:tcBorders>
              <w:left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6F5FB7" w:rsidRPr="00BB180F" w:rsidRDefault="006F5FB7" w:rsidP="006F5FB7">
            <w:pPr>
              <w:ind w:right="-720"/>
              <w:jc w:val="center"/>
              <w:rPr>
                <w:rFonts w:ascii="Arial" w:hAnsi="Arial" w:cs="Arial"/>
              </w:rPr>
            </w:pPr>
          </w:p>
        </w:tc>
        <w:tc>
          <w:tcPr>
            <w:tcW w:w="3770" w:type="dxa"/>
            <w:tcBorders>
              <w:lef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6F5FB7" w:rsidRPr="00BB180F" w:rsidRDefault="00172504" w:rsidP="00172504">
            <w:pPr>
              <w:jc w:val="center"/>
              <w:rPr>
                <w:rFonts w:ascii="Arial" w:hAnsi="Arial" w:cs="Arial"/>
              </w:rPr>
            </w:pPr>
            <w:r w:rsidRPr="00BB180F">
              <w:rPr>
                <w:rFonts w:ascii="Arial" w:hAnsi="Arial" w:cs="Arial"/>
              </w:rPr>
              <w:t>Receptors and messengers</w:t>
            </w:r>
            <w:r w:rsidR="0086154A" w:rsidRPr="00BB180F">
              <w:rPr>
                <w:rFonts w:ascii="Arial" w:hAnsi="Arial" w:cs="Arial"/>
              </w:rPr>
              <w:t xml:space="preserve"> (chapter </w:t>
            </w:r>
            <w:r w:rsidRPr="00BB180F">
              <w:rPr>
                <w:rFonts w:ascii="Arial" w:hAnsi="Arial" w:cs="Arial"/>
              </w:rPr>
              <w:t>8</w:t>
            </w:r>
            <w:r w:rsidR="0086154A" w:rsidRPr="00BB180F">
              <w:rPr>
                <w:rFonts w:ascii="Arial" w:hAnsi="Arial" w:cs="Arial"/>
              </w:rPr>
              <w:t>)</w:t>
            </w:r>
          </w:p>
        </w:tc>
      </w:tr>
      <w:tr w:rsidR="006F5FB7" w:rsidRPr="00BB180F" w:rsidTr="00C272BD">
        <w:trPr>
          <w:jc w:val="center"/>
        </w:trPr>
        <w:tc>
          <w:tcPr>
            <w:tcW w:w="908" w:type="dxa"/>
            <w:tcBorders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6F5FB7" w:rsidRPr="00BB180F" w:rsidRDefault="006F5FB7" w:rsidP="006F5FB7">
            <w:pPr>
              <w:jc w:val="center"/>
              <w:rPr>
                <w:rFonts w:ascii="Arial" w:hAnsi="Arial" w:cs="Arial"/>
              </w:rPr>
            </w:pPr>
            <w:r w:rsidRPr="00BB180F">
              <w:rPr>
                <w:rFonts w:ascii="Arial" w:hAnsi="Arial" w:cs="Arial"/>
              </w:rPr>
              <w:t>Apr 4</w:t>
            </w:r>
          </w:p>
        </w:tc>
        <w:tc>
          <w:tcPr>
            <w:tcW w:w="236" w:type="dxa"/>
            <w:tcBorders>
              <w:left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6F5FB7" w:rsidRPr="00BB180F" w:rsidRDefault="006F5FB7" w:rsidP="006F5FB7">
            <w:pPr>
              <w:ind w:right="-720"/>
              <w:jc w:val="center"/>
              <w:rPr>
                <w:rFonts w:ascii="Arial" w:hAnsi="Arial" w:cs="Arial"/>
              </w:rPr>
            </w:pPr>
          </w:p>
        </w:tc>
        <w:tc>
          <w:tcPr>
            <w:tcW w:w="3770" w:type="dxa"/>
            <w:tcBorders>
              <w:lef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DD3A12" w:rsidRPr="00BB180F" w:rsidRDefault="00DD3A12" w:rsidP="00DD3A12">
            <w:pPr>
              <w:jc w:val="center"/>
              <w:rPr>
                <w:rFonts w:ascii="Arial" w:hAnsi="Arial" w:cs="Arial"/>
              </w:rPr>
            </w:pPr>
            <w:r w:rsidRPr="00BB180F">
              <w:rPr>
                <w:rFonts w:ascii="Arial" w:hAnsi="Arial" w:cs="Arial"/>
              </w:rPr>
              <w:t>Last day to withdraw (Apr 8)</w:t>
            </w:r>
          </w:p>
        </w:tc>
      </w:tr>
      <w:tr w:rsidR="006F5FB7" w:rsidRPr="00BB180F" w:rsidTr="00C272BD">
        <w:trPr>
          <w:jc w:val="center"/>
        </w:trPr>
        <w:tc>
          <w:tcPr>
            <w:tcW w:w="908" w:type="dxa"/>
            <w:tcBorders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6F5FB7" w:rsidRPr="00BB180F" w:rsidRDefault="006F5FB7" w:rsidP="006F5FB7">
            <w:pPr>
              <w:jc w:val="center"/>
              <w:rPr>
                <w:rFonts w:ascii="Arial" w:hAnsi="Arial" w:cs="Arial"/>
              </w:rPr>
            </w:pPr>
            <w:r w:rsidRPr="00BB180F">
              <w:rPr>
                <w:rFonts w:ascii="Arial" w:hAnsi="Arial" w:cs="Arial"/>
              </w:rPr>
              <w:t>Apr 11</w:t>
            </w:r>
          </w:p>
        </w:tc>
        <w:tc>
          <w:tcPr>
            <w:tcW w:w="236" w:type="dxa"/>
            <w:tcBorders>
              <w:left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6F5FB7" w:rsidRPr="00BB180F" w:rsidRDefault="006F5FB7" w:rsidP="006F5FB7">
            <w:pPr>
              <w:ind w:right="-720"/>
              <w:jc w:val="center"/>
              <w:rPr>
                <w:rFonts w:ascii="Arial" w:hAnsi="Arial" w:cs="Arial"/>
              </w:rPr>
            </w:pPr>
          </w:p>
        </w:tc>
        <w:tc>
          <w:tcPr>
            <w:tcW w:w="3770" w:type="dxa"/>
            <w:tcBorders>
              <w:lef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6F5FB7" w:rsidRPr="00BB180F" w:rsidRDefault="00BE02E3" w:rsidP="00C272BD">
            <w:pPr>
              <w:jc w:val="center"/>
              <w:rPr>
                <w:rFonts w:ascii="Arial" w:hAnsi="Arial" w:cs="Arial"/>
              </w:rPr>
            </w:pPr>
            <w:r w:rsidRPr="00BB180F">
              <w:rPr>
                <w:rFonts w:ascii="Arial" w:hAnsi="Arial" w:cs="Arial"/>
              </w:rPr>
              <w:t>Drug metabolism (chapter 12)</w:t>
            </w:r>
          </w:p>
        </w:tc>
      </w:tr>
      <w:tr w:rsidR="006F5FB7" w:rsidRPr="00BB180F" w:rsidTr="00C272BD">
        <w:trPr>
          <w:jc w:val="center"/>
        </w:trPr>
        <w:tc>
          <w:tcPr>
            <w:tcW w:w="908" w:type="dxa"/>
            <w:tcBorders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6F5FB7" w:rsidRPr="00BB180F" w:rsidRDefault="006F5FB7" w:rsidP="006F5FB7">
            <w:pPr>
              <w:jc w:val="center"/>
              <w:rPr>
                <w:rFonts w:ascii="Arial" w:hAnsi="Arial" w:cs="Arial"/>
              </w:rPr>
            </w:pPr>
            <w:r w:rsidRPr="00BB180F">
              <w:rPr>
                <w:rFonts w:ascii="Arial" w:hAnsi="Arial" w:cs="Arial"/>
              </w:rPr>
              <w:t>Apr 18</w:t>
            </w:r>
          </w:p>
        </w:tc>
        <w:tc>
          <w:tcPr>
            <w:tcW w:w="236" w:type="dxa"/>
            <w:tcBorders>
              <w:left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6F5FB7" w:rsidRPr="00BB180F" w:rsidRDefault="006F5FB7" w:rsidP="006F5FB7">
            <w:pPr>
              <w:ind w:right="-720"/>
              <w:jc w:val="center"/>
              <w:rPr>
                <w:rFonts w:ascii="Arial" w:hAnsi="Arial" w:cs="Arial"/>
              </w:rPr>
            </w:pPr>
          </w:p>
        </w:tc>
        <w:tc>
          <w:tcPr>
            <w:tcW w:w="3770" w:type="dxa"/>
            <w:tcBorders>
              <w:lef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BE02E3" w:rsidRPr="00BB180F" w:rsidRDefault="00C272BD" w:rsidP="00BB2896">
            <w:pPr>
              <w:jc w:val="center"/>
              <w:rPr>
                <w:rFonts w:ascii="Arial" w:hAnsi="Arial" w:cs="Arial"/>
              </w:rPr>
            </w:pPr>
            <w:r w:rsidRPr="00C272BD">
              <w:rPr>
                <w:rFonts w:ascii="Arial" w:hAnsi="Arial" w:cs="Arial"/>
              </w:rPr>
              <w:t>Drug metabolism (chapter 12)</w:t>
            </w:r>
          </w:p>
        </w:tc>
      </w:tr>
      <w:tr w:rsidR="006F5FB7" w:rsidRPr="00BB180F" w:rsidTr="00C272BD">
        <w:trPr>
          <w:jc w:val="center"/>
        </w:trPr>
        <w:tc>
          <w:tcPr>
            <w:tcW w:w="908" w:type="dxa"/>
            <w:tcBorders>
              <w:bottom w:val="dashed" w:sz="4" w:space="0" w:color="auto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6F5FB7" w:rsidRPr="00BB180F" w:rsidRDefault="006F5FB7" w:rsidP="006F5FB7">
            <w:pPr>
              <w:jc w:val="center"/>
              <w:rPr>
                <w:rFonts w:ascii="Arial" w:hAnsi="Arial" w:cs="Arial"/>
              </w:rPr>
            </w:pPr>
            <w:r w:rsidRPr="00BB180F">
              <w:rPr>
                <w:rFonts w:ascii="Arial" w:hAnsi="Arial" w:cs="Arial"/>
              </w:rPr>
              <w:t>Apr 25</w:t>
            </w:r>
          </w:p>
        </w:tc>
        <w:tc>
          <w:tcPr>
            <w:tcW w:w="236" w:type="dxa"/>
            <w:tcBorders>
              <w:left w:val="nil"/>
              <w:bottom w:val="dashed" w:sz="4" w:space="0" w:color="auto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6F5FB7" w:rsidRPr="00BB180F" w:rsidRDefault="006F5FB7" w:rsidP="006F5FB7">
            <w:pPr>
              <w:ind w:right="-720"/>
              <w:jc w:val="center"/>
              <w:rPr>
                <w:rFonts w:ascii="Arial" w:hAnsi="Arial" w:cs="Arial"/>
              </w:rPr>
            </w:pPr>
          </w:p>
        </w:tc>
        <w:tc>
          <w:tcPr>
            <w:tcW w:w="3770" w:type="dxa"/>
            <w:tcBorders>
              <w:left w:val="nil"/>
              <w:bottom w:val="dashed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3E60E4" w:rsidRPr="00BB180F" w:rsidRDefault="00C272BD" w:rsidP="003E60E4">
            <w:pPr>
              <w:jc w:val="center"/>
              <w:rPr>
                <w:rFonts w:ascii="Arial" w:hAnsi="Arial" w:cs="Arial"/>
              </w:rPr>
            </w:pPr>
            <w:r w:rsidRPr="00BB180F">
              <w:rPr>
                <w:rFonts w:ascii="Arial" w:hAnsi="Arial" w:cs="Arial"/>
              </w:rPr>
              <w:t>Analogues (chapter 15)</w:t>
            </w:r>
          </w:p>
        </w:tc>
      </w:tr>
      <w:tr w:rsidR="006F5FB7" w:rsidRPr="00BB180F" w:rsidTr="00C272BD">
        <w:trPr>
          <w:jc w:val="center"/>
        </w:trPr>
        <w:tc>
          <w:tcPr>
            <w:tcW w:w="908" w:type="dxa"/>
            <w:tcBorders>
              <w:bottom w:val="single" w:sz="4" w:space="0" w:color="auto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6F5FB7" w:rsidRPr="00BB180F" w:rsidRDefault="006F5FB7" w:rsidP="006F5FB7">
            <w:pPr>
              <w:jc w:val="center"/>
              <w:rPr>
                <w:rFonts w:ascii="Arial" w:hAnsi="Arial" w:cs="Arial"/>
              </w:rPr>
            </w:pPr>
            <w:r w:rsidRPr="00BB180F">
              <w:rPr>
                <w:rFonts w:ascii="Arial" w:hAnsi="Arial" w:cs="Arial"/>
              </w:rPr>
              <w:t>May 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6F5FB7" w:rsidRPr="00BB180F" w:rsidRDefault="006F5FB7" w:rsidP="006F5FB7">
            <w:pPr>
              <w:ind w:right="-720"/>
              <w:jc w:val="center"/>
              <w:rPr>
                <w:rFonts w:ascii="Arial" w:hAnsi="Arial" w:cs="Arial"/>
              </w:rPr>
            </w:pPr>
          </w:p>
        </w:tc>
        <w:tc>
          <w:tcPr>
            <w:tcW w:w="3770" w:type="dxa"/>
            <w:tcBorders>
              <w:left w:val="nil"/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6F5FB7" w:rsidRPr="00BB180F" w:rsidRDefault="006F5FB7" w:rsidP="000C6E9D">
            <w:pPr>
              <w:jc w:val="center"/>
              <w:rPr>
                <w:rFonts w:ascii="Arial" w:hAnsi="Arial" w:cs="Arial"/>
              </w:rPr>
            </w:pPr>
            <w:r w:rsidRPr="00BB180F">
              <w:rPr>
                <w:rFonts w:ascii="Arial" w:hAnsi="Arial" w:cs="Arial"/>
                <w:i/>
                <w:iCs/>
              </w:rPr>
              <w:t xml:space="preserve">Exam </w:t>
            </w:r>
            <w:r w:rsidR="000C6E9D" w:rsidRPr="00BB180F">
              <w:rPr>
                <w:rFonts w:ascii="Arial" w:hAnsi="Arial" w:cs="Arial"/>
                <w:i/>
                <w:iCs/>
              </w:rPr>
              <w:t xml:space="preserve">2 </w:t>
            </w:r>
            <w:r w:rsidRPr="00BB180F">
              <w:rPr>
                <w:rFonts w:ascii="Arial" w:hAnsi="Arial" w:cs="Arial"/>
                <w:iCs/>
              </w:rPr>
              <w:t>(</w:t>
            </w:r>
            <w:r w:rsidR="003D41CE" w:rsidRPr="00BB180F">
              <w:rPr>
                <w:rFonts w:ascii="Arial" w:hAnsi="Arial" w:cs="Arial"/>
                <w:iCs/>
              </w:rPr>
              <w:t xml:space="preserve">May </w:t>
            </w:r>
            <w:r w:rsidR="00BB2896" w:rsidRPr="00BB180F">
              <w:rPr>
                <w:rFonts w:ascii="Arial" w:hAnsi="Arial" w:cs="Arial"/>
                <w:iCs/>
              </w:rPr>
              <w:t>2</w:t>
            </w:r>
            <w:r w:rsidRPr="00BB180F">
              <w:rPr>
                <w:rFonts w:ascii="Arial" w:hAnsi="Arial" w:cs="Arial"/>
                <w:iCs/>
              </w:rPr>
              <w:t>) from 4:00 – 6:30 PM;</w:t>
            </w:r>
            <w:r w:rsidRPr="00BB180F">
              <w:rPr>
                <w:rFonts w:ascii="Arial" w:hAnsi="Arial" w:cs="Arial"/>
              </w:rPr>
              <w:t xml:space="preserve"> note that Exam </w:t>
            </w:r>
            <w:r w:rsidR="000C6E9D" w:rsidRPr="00BB180F">
              <w:rPr>
                <w:rFonts w:ascii="Arial" w:hAnsi="Arial" w:cs="Arial"/>
              </w:rPr>
              <w:t>2</w:t>
            </w:r>
            <w:r w:rsidRPr="00BB180F">
              <w:rPr>
                <w:rFonts w:ascii="Arial" w:hAnsi="Arial" w:cs="Arial"/>
              </w:rPr>
              <w:t xml:space="preserve"> will not be a cumulative final</w:t>
            </w:r>
          </w:p>
        </w:tc>
      </w:tr>
    </w:tbl>
    <w:p w:rsidR="00C272BD" w:rsidRDefault="00C272BD" w:rsidP="00671222">
      <w:pPr>
        <w:pStyle w:val="BodyTextIndent"/>
        <w:spacing w:line="240" w:lineRule="auto"/>
        <w:ind w:left="0" w:firstLine="0"/>
        <w:jc w:val="both"/>
        <w:rPr>
          <w:rFonts w:ascii="Arial" w:hAnsi="Arial" w:cs="Arial"/>
          <w:sz w:val="21"/>
          <w:szCs w:val="21"/>
        </w:rPr>
      </w:pPr>
    </w:p>
    <w:p w:rsidR="00C272BD" w:rsidRDefault="00C272BD" w:rsidP="00671222">
      <w:pPr>
        <w:pStyle w:val="BodyTextIndent"/>
        <w:spacing w:line="240" w:lineRule="auto"/>
        <w:ind w:left="0" w:firstLine="0"/>
        <w:jc w:val="both"/>
        <w:rPr>
          <w:rFonts w:ascii="Arial" w:hAnsi="Arial" w:cs="Arial"/>
          <w:sz w:val="21"/>
          <w:szCs w:val="21"/>
        </w:rPr>
      </w:pPr>
    </w:p>
    <w:p w:rsidR="00C272BD" w:rsidRDefault="00C272BD" w:rsidP="00671222">
      <w:pPr>
        <w:pStyle w:val="BodyTextIndent"/>
        <w:spacing w:line="240" w:lineRule="auto"/>
        <w:ind w:left="0" w:firstLine="0"/>
        <w:jc w:val="both"/>
        <w:rPr>
          <w:rFonts w:ascii="Arial" w:hAnsi="Arial" w:cs="Arial"/>
          <w:sz w:val="21"/>
          <w:szCs w:val="21"/>
        </w:rPr>
      </w:pPr>
    </w:p>
    <w:p w:rsidR="00C272BD" w:rsidRDefault="00C272BD" w:rsidP="00671222">
      <w:pPr>
        <w:pStyle w:val="BodyTextIndent"/>
        <w:spacing w:line="240" w:lineRule="auto"/>
        <w:ind w:left="0" w:firstLine="0"/>
        <w:jc w:val="both"/>
        <w:rPr>
          <w:rFonts w:ascii="Arial" w:hAnsi="Arial" w:cs="Arial"/>
          <w:sz w:val="21"/>
          <w:szCs w:val="21"/>
        </w:rPr>
      </w:pPr>
    </w:p>
    <w:p w:rsidR="00C272BD" w:rsidRDefault="00C272BD" w:rsidP="00671222">
      <w:pPr>
        <w:pStyle w:val="BodyTextIndent"/>
        <w:spacing w:line="240" w:lineRule="auto"/>
        <w:ind w:left="0" w:firstLine="0"/>
        <w:jc w:val="both"/>
        <w:rPr>
          <w:rFonts w:ascii="Arial" w:hAnsi="Arial" w:cs="Arial"/>
          <w:sz w:val="21"/>
          <w:szCs w:val="21"/>
        </w:rPr>
      </w:pPr>
    </w:p>
    <w:p w:rsidR="00671222" w:rsidRPr="00671222" w:rsidRDefault="00671222" w:rsidP="00671222">
      <w:pPr>
        <w:pStyle w:val="BodyTextIndent"/>
        <w:spacing w:line="240" w:lineRule="auto"/>
        <w:ind w:left="0" w:firstLine="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Make-up Policy</w:t>
      </w:r>
    </w:p>
    <w:p w:rsidR="00671222" w:rsidRPr="00671222" w:rsidRDefault="00671222" w:rsidP="00671222">
      <w:pPr>
        <w:pStyle w:val="BodyTextIndent"/>
        <w:spacing w:line="240" w:lineRule="auto"/>
        <w:ind w:left="0" w:firstLine="0"/>
        <w:jc w:val="both"/>
        <w:rPr>
          <w:rFonts w:ascii="Arial" w:hAnsi="Arial" w:cs="Arial"/>
          <w:sz w:val="21"/>
          <w:szCs w:val="21"/>
        </w:rPr>
      </w:pPr>
      <w:r w:rsidRPr="00671222">
        <w:rPr>
          <w:rFonts w:ascii="Arial" w:hAnsi="Arial" w:cs="Arial"/>
          <w:sz w:val="21"/>
          <w:szCs w:val="21"/>
        </w:rPr>
        <w:t>There will be no make-up exams except in the following cases:</w:t>
      </w:r>
    </w:p>
    <w:p w:rsidR="00671222" w:rsidRPr="00671222" w:rsidRDefault="00671222" w:rsidP="00671222">
      <w:pPr>
        <w:pStyle w:val="BodyTextIndent"/>
        <w:spacing w:line="240" w:lineRule="auto"/>
        <w:ind w:left="0" w:firstLine="0"/>
        <w:jc w:val="both"/>
        <w:rPr>
          <w:rFonts w:ascii="Arial" w:hAnsi="Arial" w:cs="Arial"/>
          <w:sz w:val="21"/>
          <w:szCs w:val="21"/>
        </w:rPr>
      </w:pPr>
      <w:r w:rsidRPr="00671222">
        <w:rPr>
          <w:rFonts w:ascii="Arial" w:hAnsi="Arial" w:cs="Arial"/>
          <w:sz w:val="21"/>
          <w:szCs w:val="21"/>
        </w:rPr>
        <w:t>1.</w:t>
      </w:r>
      <w:r w:rsidRPr="00671222">
        <w:rPr>
          <w:rFonts w:ascii="Arial" w:hAnsi="Arial" w:cs="Arial"/>
          <w:sz w:val="21"/>
          <w:szCs w:val="21"/>
        </w:rPr>
        <w:tab/>
        <w:t>Medical emergency</w:t>
      </w:r>
    </w:p>
    <w:p w:rsidR="00671222" w:rsidRPr="00671222" w:rsidRDefault="00671222" w:rsidP="00671222">
      <w:pPr>
        <w:pStyle w:val="BodyTextIndent"/>
        <w:spacing w:line="240" w:lineRule="auto"/>
        <w:ind w:left="0" w:firstLine="0"/>
        <w:jc w:val="both"/>
        <w:rPr>
          <w:rFonts w:ascii="Arial" w:hAnsi="Arial" w:cs="Arial"/>
          <w:sz w:val="21"/>
          <w:szCs w:val="21"/>
        </w:rPr>
      </w:pPr>
      <w:r w:rsidRPr="00671222">
        <w:rPr>
          <w:rFonts w:ascii="Arial" w:hAnsi="Arial" w:cs="Arial"/>
          <w:sz w:val="21"/>
          <w:szCs w:val="21"/>
        </w:rPr>
        <w:t>2.</w:t>
      </w:r>
      <w:r w:rsidRPr="00671222">
        <w:rPr>
          <w:rFonts w:ascii="Arial" w:hAnsi="Arial" w:cs="Arial"/>
          <w:sz w:val="21"/>
          <w:szCs w:val="21"/>
        </w:rPr>
        <w:tab/>
        <w:t>Death in the immediate family</w:t>
      </w:r>
    </w:p>
    <w:p w:rsidR="00671222" w:rsidRPr="00671222" w:rsidRDefault="00671222" w:rsidP="00671222">
      <w:pPr>
        <w:pStyle w:val="BodyTextIndent"/>
        <w:spacing w:line="240" w:lineRule="auto"/>
        <w:ind w:left="285" w:hanging="285"/>
        <w:jc w:val="both"/>
        <w:rPr>
          <w:rFonts w:ascii="Arial" w:hAnsi="Arial" w:cs="Arial"/>
          <w:sz w:val="21"/>
          <w:szCs w:val="21"/>
        </w:rPr>
      </w:pPr>
      <w:r w:rsidRPr="00671222">
        <w:rPr>
          <w:rFonts w:ascii="Arial" w:hAnsi="Arial" w:cs="Arial"/>
          <w:sz w:val="21"/>
          <w:szCs w:val="21"/>
        </w:rPr>
        <w:t>3.</w:t>
      </w:r>
      <w:r w:rsidRPr="00671222">
        <w:rPr>
          <w:rFonts w:ascii="Arial" w:hAnsi="Arial" w:cs="Arial"/>
          <w:sz w:val="21"/>
          <w:szCs w:val="21"/>
        </w:rPr>
        <w:tab/>
        <w:t>Participation in an FAU-sponsored academic or athletic activity/event</w:t>
      </w:r>
    </w:p>
    <w:p w:rsidR="00671222" w:rsidRPr="00671222" w:rsidRDefault="00671222" w:rsidP="00671222">
      <w:pPr>
        <w:pStyle w:val="BodyTextIndent"/>
        <w:spacing w:line="240" w:lineRule="auto"/>
        <w:ind w:left="0" w:firstLine="0"/>
        <w:jc w:val="both"/>
        <w:rPr>
          <w:rFonts w:ascii="Arial" w:hAnsi="Arial" w:cs="Arial"/>
          <w:sz w:val="21"/>
          <w:szCs w:val="21"/>
        </w:rPr>
      </w:pPr>
      <w:r w:rsidRPr="00671222">
        <w:rPr>
          <w:rFonts w:ascii="Arial" w:hAnsi="Arial" w:cs="Arial"/>
          <w:sz w:val="21"/>
          <w:szCs w:val="21"/>
        </w:rPr>
        <w:t>4.</w:t>
      </w:r>
      <w:r w:rsidRPr="00671222">
        <w:rPr>
          <w:rFonts w:ascii="Arial" w:hAnsi="Arial" w:cs="Arial"/>
          <w:sz w:val="21"/>
          <w:szCs w:val="21"/>
        </w:rPr>
        <w:tab/>
        <w:t>Required appearance in a civil or criminal court</w:t>
      </w:r>
    </w:p>
    <w:p w:rsidR="00671222" w:rsidRPr="00671222" w:rsidRDefault="00671222" w:rsidP="00671222">
      <w:pPr>
        <w:pStyle w:val="BodyTextIndent"/>
        <w:spacing w:line="240" w:lineRule="auto"/>
        <w:ind w:left="0" w:firstLine="0"/>
        <w:jc w:val="both"/>
        <w:rPr>
          <w:rFonts w:ascii="Arial" w:hAnsi="Arial" w:cs="Arial"/>
          <w:sz w:val="21"/>
          <w:szCs w:val="21"/>
        </w:rPr>
      </w:pPr>
      <w:r w:rsidRPr="00671222">
        <w:rPr>
          <w:rFonts w:ascii="Arial" w:hAnsi="Arial" w:cs="Arial"/>
          <w:sz w:val="21"/>
          <w:szCs w:val="21"/>
        </w:rPr>
        <w:t>5.</w:t>
      </w:r>
      <w:r w:rsidRPr="00671222">
        <w:rPr>
          <w:rFonts w:ascii="Arial" w:hAnsi="Arial" w:cs="Arial"/>
          <w:sz w:val="21"/>
          <w:szCs w:val="21"/>
        </w:rPr>
        <w:tab/>
        <w:t>Religious Holiday</w:t>
      </w:r>
    </w:p>
    <w:p w:rsidR="00671222" w:rsidRDefault="00671222" w:rsidP="00671222">
      <w:pPr>
        <w:pStyle w:val="BodyTextIndent"/>
        <w:spacing w:before="120" w:line="240" w:lineRule="auto"/>
        <w:ind w:left="0" w:firstLine="0"/>
        <w:jc w:val="both"/>
        <w:rPr>
          <w:rFonts w:ascii="Arial" w:hAnsi="Arial" w:cs="Arial"/>
          <w:sz w:val="21"/>
          <w:szCs w:val="21"/>
        </w:rPr>
      </w:pPr>
      <w:r w:rsidRPr="00671222">
        <w:rPr>
          <w:rFonts w:ascii="Arial" w:hAnsi="Arial" w:cs="Arial"/>
          <w:sz w:val="21"/>
          <w:szCs w:val="21"/>
        </w:rPr>
        <w:t xml:space="preserve">A request for exemption from the exam policy for any of the above reasons will be considered only if the student does not attempt a given exam AND written documentation (e.g. medical certificate etc.) is submitted to the professor within 2 days (before or after) of the scheduled exam date.  </w:t>
      </w:r>
    </w:p>
    <w:p w:rsidR="00671222" w:rsidRDefault="00671222" w:rsidP="00D361E9">
      <w:pPr>
        <w:pStyle w:val="BodyTextIndent"/>
        <w:spacing w:line="240" w:lineRule="auto"/>
        <w:ind w:left="0" w:firstLine="0"/>
        <w:jc w:val="both"/>
        <w:rPr>
          <w:rFonts w:ascii="Arial" w:hAnsi="Arial" w:cs="Arial"/>
          <w:sz w:val="21"/>
          <w:szCs w:val="21"/>
        </w:rPr>
      </w:pPr>
    </w:p>
    <w:p w:rsidR="00BB180F" w:rsidRPr="00BB180F" w:rsidRDefault="00BB180F" w:rsidP="00D361E9">
      <w:pPr>
        <w:pStyle w:val="BodyTextIndent"/>
        <w:spacing w:line="240" w:lineRule="auto"/>
        <w:ind w:left="0" w:firstLine="0"/>
        <w:jc w:val="both"/>
        <w:rPr>
          <w:rFonts w:ascii="Arial" w:hAnsi="Arial" w:cs="Arial"/>
          <w:b/>
          <w:sz w:val="21"/>
          <w:szCs w:val="21"/>
        </w:rPr>
      </w:pPr>
      <w:r w:rsidRPr="00BB180F">
        <w:rPr>
          <w:rFonts w:ascii="Arial" w:hAnsi="Arial" w:cs="Arial"/>
          <w:b/>
          <w:sz w:val="21"/>
          <w:szCs w:val="21"/>
        </w:rPr>
        <w:t xml:space="preserve">Prerequisites </w:t>
      </w:r>
    </w:p>
    <w:p w:rsidR="00D900C7" w:rsidRPr="00BB180F" w:rsidRDefault="00F57A27" w:rsidP="00D361E9">
      <w:pPr>
        <w:pStyle w:val="BodyTextIndent"/>
        <w:spacing w:line="240" w:lineRule="auto"/>
        <w:ind w:left="0" w:firstLine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CHM 2211 and BCH 3033</w:t>
      </w:r>
      <w:r w:rsidR="00DF5AC5">
        <w:rPr>
          <w:rFonts w:ascii="Arial" w:hAnsi="Arial" w:cs="Arial"/>
          <w:sz w:val="21"/>
          <w:szCs w:val="21"/>
        </w:rPr>
        <w:t xml:space="preserve"> with a </w:t>
      </w:r>
      <w:r w:rsidR="00BB180F" w:rsidRPr="00BB180F">
        <w:rPr>
          <w:rFonts w:ascii="Arial" w:hAnsi="Arial" w:cs="Arial"/>
          <w:sz w:val="21"/>
          <w:szCs w:val="21"/>
        </w:rPr>
        <w:t xml:space="preserve">Minimum grade of </w:t>
      </w:r>
      <w:r w:rsidR="00202E5A">
        <w:rPr>
          <w:rFonts w:ascii="Arial" w:hAnsi="Arial" w:cs="Arial"/>
          <w:sz w:val="21"/>
          <w:szCs w:val="21"/>
        </w:rPr>
        <w:t>C</w:t>
      </w:r>
      <w:r w:rsidR="00BB180F" w:rsidRPr="00BB180F">
        <w:rPr>
          <w:rFonts w:ascii="Arial" w:hAnsi="Arial" w:cs="Arial"/>
          <w:sz w:val="21"/>
          <w:szCs w:val="21"/>
        </w:rPr>
        <w:t xml:space="preserve"> in each course.</w:t>
      </w:r>
      <w:r>
        <w:rPr>
          <w:rFonts w:ascii="Arial" w:hAnsi="Arial" w:cs="Arial"/>
          <w:sz w:val="21"/>
          <w:szCs w:val="21"/>
        </w:rPr>
        <w:t xml:space="preserve"> </w:t>
      </w:r>
    </w:p>
    <w:p w:rsidR="00BB180F" w:rsidRPr="00BB180F" w:rsidRDefault="00BB180F">
      <w:pPr>
        <w:pStyle w:val="BodyTextIndent"/>
        <w:spacing w:line="240" w:lineRule="auto"/>
        <w:ind w:left="0" w:firstLine="0"/>
        <w:jc w:val="both"/>
        <w:rPr>
          <w:rFonts w:ascii="Arial" w:hAnsi="Arial" w:cs="Arial"/>
          <w:sz w:val="21"/>
          <w:szCs w:val="21"/>
        </w:rPr>
      </w:pPr>
    </w:p>
    <w:p w:rsidR="00BB180F" w:rsidRPr="00BB180F" w:rsidRDefault="00BB180F" w:rsidP="00BB180F">
      <w:pPr>
        <w:pStyle w:val="BodyTextIndent"/>
        <w:spacing w:line="240" w:lineRule="auto"/>
        <w:ind w:left="0" w:firstLine="0"/>
        <w:jc w:val="both"/>
        <w:rPr>
          <w:rFonts w:ascii="Arial" w:hAnsi="Arial" w:cs="Arial"/>
          <w:b/>
          <w:sz w:val="21"/>
          <w:szCs w:val="21"/>
        </w:rPr>
      </w:pPr>
      <w:r w:rsidRPr="00BB180F">
        <w:rPr>
          <w:rFonts w:ascii="Arial" w:hAnsi="Arial" w:cs="Arial"/>
          <w:b/>
          <w:sz w:val="21"/>
          <w:szCs w:val="21"/>
        </w:rPr>
        <w:t>Withdrawal</w:t>
      </w:r>
    </w:p>
    <w:p w:rsidR="00BB180F" w:rsidRPr="00BB180F" w:rsidRDefault="00BB180F" w:rsidP="00BB180F">
      <w:pPr>
        <w:pStyle w:val="BodyTextIndent"/>
        <w:spacing w:line="240" w:lineRule="auto"/>
        <w:ind w:left="0" w:firstLine="0"/>
        <w:jc w:val="both"/>
        <w:rPr>
          <w:rFonts w:ascii="Arial" w:hAnsi="Arial" w:cs="Arial"/>
          <w:sz w:val="21"/>
          <w:szCs w:val="21"/>
        </w:rPr>
      </w:pPr>
      <w:r w:rsidRPr="00BB180F">
        <w:rPr>
          <w:rFonts w:ascii="Arial" w:hAnsi="Arial" w:cs="Arial"/>
          <w:sz w:val="21"/>
          <w:szCs w:val="21"/>
        </w:rPr>
        <w:t>Please check the official FAU website regularly for the most up to date information on last day to withdraw without a “W” &amp; last day to withdraw without an “F” dates for this semester.</w:t>
      </w:r>
    </w:p>
    <w:p w:rsidR="00BB180F" w:rsidRPr="00BB180F" w:rsidRDefault="00BB180F" w:rsidP="00BB180F">
      <w:pPr>
        <w:pStyle w:val="BodyTextIndent"/>
        <w:spacing w:line="240" w:lineRule="auto"/>
        <w:ind w:left="0" w:firstLine="0"/>
        <w:jc w:val="both"/>
        <w:rPr>
          <w:rFonts w:ascii="Arial" w:hAnsi="Arial" w:cs="Arial"/>
          <w:sz w:val="21"/>
          <w:szCs w:val="21"/>
        </w:rPr>
      </w:pPr>
    </w:p>
    <w:p w:rsidR="00BB180F" w:rsidRPr="00BB180F" w:rsidRDefault="00BB180F" w:rsidP="00BB180F">
      <w:pPr>
        <w:pStyle w:val="BodyTextIndent"/>
        <w:spacing w:line="240" w:lineRule="auto"/>
        <w:ind w:left="0" w:firstLine="0"/>
        <w:jc w:val="both"/>
        <w:rPr>
          <w:rFonts w:ascii="Arial" w:hAnsi="Arial" w:cs="Arial"/>
          <w:b/>
          <w:sz w:val="21"/>
          <w:szCs w:val="21"/>
        </w:rPr>
      </w:pPr>
      <w:r w:rsidRPr="00BB180F">
        <w:rPr>
          <w:rFonts w:ascii="Arial" w:hAnsi="Arial" w:cs="Arial"/>
          <w:b/>
          <w:sz w:val="21"/>
          <w:szCs w:val="21"/>
        </w:rPr>
        <w:t>Incomplete Grade Policy</w:t>
      </w:r>
    </w:p>
    <w:p w:rsidR="00BB180F" w:rsidRPr="00BB180F" w:rsidRDefault="00BB180F" w:rsidP="00BB180F">
      <w:pPr>
        <w:pStyle w:val="BodyTextIndent"/>
        <w:spacing w:line="240" w:lineRule="auto"/>
        <w:ind w:left="0" w:firstLine="0"/>
        <w:jc w:val="both"/>
        <w:rPr>
          <w:rFonts w:ascii="Arial" w:hAnsi="Arial" w:cs="Arial"/>
          <w:sz w:val="21"/>
          <w:szCs w:val="21"/>
        </w:rPr>
      </w:pPr>
      <w:r w:rsidRPr="00BB180F">
        <w:rPr>
          <w:rFonts w:ascii="Arial" w:hAnsi="Arial" w:cs="Arial"/>
          <w:sz w:val="21"/>
          <w:szCs w:val="21"/>
        </w:rPr>
        <w:t xml:space="preserve">Please refer to the FAU’s graduate Catalog for the policy on “I” grades. </w:t>
      </w:r>
    </w:p>
    <w:p w:rsidR="00BB180F" w:rsidRDefault="00BB180F" w:rsidP="00BB180F">
      <w:pPr>
        <w:pStyle w:val="BodyTextIndent"/>
        <w:spacing w:line="240" w:lineRule="auto"/>
        <w:ind w:left="0" w:firstLine="0"/>
        <w:jc w:val="both"/>
        <w:rPr>
          <w:rFonts w:ascii="Arial" w:hAnsi="Arial" w:cs="Arial"/>
          <w:sz w:val="21"/>
          <w:szCs w:val="21"/>
        </w:rPr>
      </w:pPr>
    </w:p>
    <w:p w:rsidR="00671222" w:rsidRPr="00671222" w:rsidRDefault="00671222" w:rsidP="00671222">
      <w:pPr>
        <w:pStyle w:val="BodyTextIndent"/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71222">
        <w:rPr>
          <w:rFonts w:ascii="Arial" w:hAnsi="Arial" w:cs="Arial"/>
          <w:b/>
          <w:sz w:val="21"/>
          <w:szCs w:val="21"/>
        </w:rPr>
        <w:t>Attendance Policy</w:t>
      </w:r>
      <w:r w:rsidRPr="00671222">
        <w:rPr>
          <w:rFonts w:ascii="Arial" w:hAnsi="Arial" w:cs="Arial"/>
          <w:b/>
          <w:sz w:val="21"/>
          <w:szCs w:val="21"/>
        </w:rPr>
        <w:tab/>
      </w:r>
    </w:p>
    <w:p w:rsidR="00671222" w:rsidRDefault="00671222" w:rsidP="00671222">
      <w:pPr>
        <w:pStyle w:val="BodyTextIndent"/>
        <w:spacing w:line="240" w:lineRule="auto"/>
        <w:ind w:left="0" w:firstLine="0"/>
        <w:jc w:val="both"/>
        <w:rPr>
          <w:rFonts w:ascii="Arial" w:hAnsi="Arial" w:cs="Arial"/>
          <w:sz w:val="21"/>
          <w:szCs w:val="21"/>
        </w:rPr>
      </w:pPr>
      <w:r w:rsidRPr="00671222">
        <w:rPr>
          <w:rFonts w:ascii="Arial" w:hAnsi="Arial" w:cs="Arial"/>
          <w:sz w:val="21"/>
          <w:szCs w:val="21"/>
        </w:rPr>
        <w:t>Note the following from the FAU Undergraduate Catalog:  “Students are expected to attend all of their scheduled University classes and to satisfy all academic objectives as outlined by the Instructor.”</w:t>
      </w:r>
    </w:p>
    <w:p w:rsidR="00671222" w:rsidRPr="00BB180F" w:rsidRDefault="00671222" w:rsidP="00BB180F">
      <w:pPr>
        <w:pStyle w:val="BodyTextIndent"/>
        <w:spacing w:line="240" w:lineRule="auto"/>
        <w:ind w:left="0" w:firstLine="0"/>
        <w:jc w:val="both"/>
        <w:rPr>
          <w:rFonts w:ascii="Arial" w:hAnsi="Arial" w:cs="Arial"/>
          <w:sz w:val="21"/>
          <w:szCs w:val="21"/>
        </w:rPr>
      </w:pPr>
    </w:p>
    <w:p w:rsidR="00BB180F" w:rsidRPr="00BB180F" w:rsidRDefault="00BB180F" w:rsidP="00BB180F">
      <w:pPr>
        <w:pStyle w:val="BodyTextIndent"/>
        <w:spacing w:line="240" w:lineRule="auto"/>
        <w:ind w:left="0" w:firstLine="0"/>
        <w:jc w:val="both"/>
        <w:rPr>
          <w:rFonts w:ascii="Arial" w:hAnsi="Arial" w:cs="Arial"/>
          <w:b/>
          <w:sz w:val="21"/>
          <w:szCs w:val="21"/>
        </w:rPr>
      </w:pPr>
      <w:r w:rsidRPr="00BB180F">
        <w:rPr>
          <w:rFonts w:ascii="Arial" w:hAnsi="Arial" w:cs="Arial"/>
          <w:b/>
          <w:sz w:val="21"/>
          <w:szCs w:val="21"/>
        </w:rPr>
        <w:t>Disability policy statement</w:t>
      </w:r>
    </w:p>
    <w:p w:rsidR="00BB180F" w:rsidRPr="00BB180F" w:rsidRDefault="00BB180F" w:rsidP="00BB180F">
      <w:pPr>
        <w:pStyle w:val="BodyTextIndent"/>
        <w:spacing w:line="240" w:lineRule="auto"/>
        <w:ind w:left="0" w:firstLine="0"/>
        <w:jc w:val="both"/>
        <w:rPr>
          <w:rFonts w:ascii="Arial" w:hAnsi="Arial" w:cs="Arial"/>
          <w:sz w:val="21"/>
          <w:szCs w:val="21"/>
        </w:rPr>
      </w:pPr>
      <w:r w:rsidRPr="00BB180F">
        <w:rPr>
          <w:rFonts w:ascii="Arial" w:hAnsi="Arial" w:cs="Arial"/>
          <w:sz w:val="21"/>
          <w:szCs w:val="21"/>
        </w:rPr>
        <w:t>In compliance with the Americans with Disabilities Act (ADA), students who require special accommodation due to a disability to properly execute coursework must register with the Office for Student Accessibility Services (SAS) - in Boca Raton, SU 133 (561- 297-3880) – and follow all SAS procedures.</w:t>
      </w:r>
    </w:p>
    <w:p w:rsidR="00BB180F" w:rsidRPr="00BB180F" w:rsidRDefault="00BB180F" w:rsidP="00BB180F">
      <w:pPr>
        <w:pStyle w:val="BodyTextIndent"/>
        <w:spacing w:line="240" w:lineRule="auto"/>
        <w:ind w:left="0" w:firstLine="0"/>
        <w:jc w:val="both"/>
        <w:rPr>
          <w:rFonts w:ascii="Arial" w:hAnsi="Arial" w:cs="Arial"/>
          <w:sz w:val="21"/>
          <w:szCs w:val="21"/>
        </w:rPr>
      </w:pPr>
    </w:p>
    <w:p w:rsidR="00BB180F" w:rsidRPr="00BB180F" w:rsidRDefault="00BB180F" w:rsidP="00BB180F">
      <w:pPr>
        <w:pStyle w:val="BodyTextIndent"/>
        <w:spacing w:line="240" w:lineRule="auto"/>
        <w:ind w:left="0" w:firstLine="0"/>
        <w:jc w:val="both"/>
        <w:rPr>
          <w:rFonts w:ascii="Arial" w:hAnsi="Arial" w:cs="Arial"/>
          <w:sz w:val="21"/>
          <w:szCs w:val="21"/>
        </w:rPr>
      </w:pPr>
      <w:r w:rsidRPr="00BB180F">
        <w:rPr>
          <w:rFonts w:ascii="Arial" w:hAnsi="Arial" w:cs="Arial"/>
          <w:b/>
          <w:sz w:val="21"/>
          <w:szCs w:val="21"/>
        </w:rPr>
        <w:t>Honor Code policy statement</w:t>
      </w:r>
    </w:p>
    <w:p w:rsidR="00BB180F" w:rsidRPr="00BB180F" w:rsidRDefault="00BB180F" w:rsidP="00BB180F">
      <w:pPr>
        <w:pStyle w:val="BodyTextIndent"/>
        <w:spacing w:line="240" w:lineRule="auto"/>
        <w:ind w:left="0" w:firstLine="0"/>
        <w:jc w:val="both"/>
        <w:rPr>
          <w:rFonts w:ascii="Arial" w:hAnsi="Arial" w:cs="Arial"/>
          <w:sz w:val="21"/>
          <w:szCs w:val="21"/>
        </w:rPr>
      </w:pPr>
      <w:r w:rsidRPr="00BB180F">
        <w:rPr>
          <w:rFonts w:ascii="Arial" w:hAnsi="Arial" w:cs="Arial"/>
          <w:sz w:val="21"/>
          <w:szCs w:val="21"/>
        </w:rPr>
        <w:t xml:space="preserve">Students at FAU are expected to maintain the highest ethical standards. Academic dishonesty, including cheating and plagiarism, is considered a serious breach of these ethical standards, because it interferes with the University mission to provide a high quality education in which no student enjoys an unfair advantage over any other. Academic dishonesty is also destructive of the University community, which is grounded in a system of mutual trust and places high value on personal integrity and individual responsibility. Harsh penalties are associated with academic dishonesty. For more information, see University Regulation 4.001 at </w:t>
      </w:r>
    </w:p>
    <w:p w:rsidR="00BB180F" w:rsidRPr="00BB180F" w:rsidRDefault="00BB180F" w:rsidP="00BB180F">
      <w:pPr>
        <w:pStyle w:val="BodyTextIndent"/>
        <w:spacing w:before="6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BB180F">
        <w:rPr>
          <w:rFonts w:ascii="Arial" w:hAnsi="Arial" w:cs="Arial"/>
          <w:sz w:val="18"/>
          <w:szCs w:val="18"/>
        </w:rPr>
        <w:t>www.fau.edu/ctl/4.001_Code_of_Academic_Integrity.pdf</w:t>
      </w:r>
    </w:p>
    <w:p w:rsidR="00BB180F" w:rsidRPr="00BB180F" w:rsidRDefault="00BB180F" w:rsidP="00BB180F">
      <w:pPr>
        <w:pStyle w:val="BodyTextIndent"/>
        <w:spacing w:line="240" w:lineRule="auto"/>
        <w:ind w:left="0" w:firstLine="0"/>
        <w:jc w:val="both"/>
        <w:rPr>
          <w:rFonts w:ascii="Arial" w:hAnsi="Arial" w:cs="Arial"/>
          <w:b/>
          <w:sz w:val="21"/>
          <w:szCs w:val="21"/>
        </w:rPr>
      </w:pPr>
      <w:r w:rsidRPr="00BB180F">
        <w:rPr>
          <w:rFonts w:ascii="Arial" w:hAnsi="Arial" w:cs="Arial"/>
          <w:b/>
          <w:sz w:val="21"/>
          <w:szCs w:val="21"/>
        </w:rPr>
        <w:t>Anti-Discrimination and Anti-Harassment Policy</w:t>
      </w:r>
    </w:p>
    <w:p w:rsidR="00BB180F" w:rsidRPr="00BB180F" w:rsidRDefault="00BB180F" w:rsidP="00BB180F">
      <w:pPr>
        <w:pStyle w:val="BodyTextIndent"/>
        <w:spacing w:line="240" w:lineRule="auto"/>
        <w:ind w:left="0" w:firstLine="0"/>
        <w:jc w:val="both"/>
        <w:rPr>
          <w:rFonts w:ascii="Arial" w:hAnsi="Arial" w:cs="Arial"/>
          <w:sz w:val="21"/>
          <w:szCs w:val="21"/>
        </w:rPr>
      </w:pPr>
      <w:r w:rsidRPr="00BB180F">
        <w:rPr>
          <w:rFonts w:ascii="Arial" w:hAnsi="Arial" w:cs="Arial"/>
          <w:sz w:val="21"/>
          <w:szCs w:val="21"/>
        </w:rPr>
        <w:t>Students, faculty and staff at FAU are expected to abide by the published anti-discrimination and anti-harassment policy:</w:t>
      </w:r>
    </w:p>
    <w:p w:rsidR="00BB180F" w:rsidRPr="00BB180F" w:rsidRDefault="00BB180F" w:rsidP="00BB180F">
      <w:pPr>
        <w:pStyle w:val="BodyTextIndent"/>
        <w:spacing w:before="6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BB180F">
        <w:rPr>
          <w:rFonts w:ascii="Arial" w:hAnsi="Arial" w:cs="Arial"/>
          <w:sz w:val="18"/>
          <w:szCs w:val="18"/>
        </w:rPr>
        <w:t>www.fau.edu/regulations/chapter5/Reg%205.010%206-2015.pdf.</w:t>
      </w:r>
    </w:p>
    <w:sectPr w:rsidR="00BB180F" w:rsidRPr="00BB180F" w:rsidSect="00A415FA">
      <w:type w:val="continuous"/>
      <w:pgSz w:w="12240" w:h="15840"/>
      <w:pgMar w:top="720" w:right="720" w:bottom="720" w:left="720" w:header="720" w:footer="720" w:gutter="0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C0F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789"/>
    <w:rsid w:val="00003CAB"/>
    <w:rsid w:val="00024718"/>
    <w:rsid w:val="00046EAD"/>
    <w:rsid w:val="00071E77"/>
    <w:rsid w:val="00081C8F"/>
    <w:rsid w:val="00081CCA"/>
    <w:rsid w:val="000C6E9D"/>
    <w:rsid w:val="000C77C9"/>
    <w:rsid w:val="000D6370"/>
    <w:rsid w:val="000E6EA7"/>
    <w:rsid w:val="000F7AB6"/>
    <w:rsid w:val="0014011C"/>
    <w:rsid w:val="0014545A"/>
    <w:rsid w:val="00170C61"/>
    <w:rsid w:val="00171DB4"/>
    <w:rsid w:val="00172504"/>
    <w:rsid w:val="00180A94"/>
    <w:rsid w:val="001935C4"/>
    <w:rsid w:val="00193B19"/>
    <w:rsid w:val="00193BD4"/>
    <w:rsid w:val="001C7757"/>
    <w:rsid w:val="001D3AA4"/>
    <w:rsid w:val="001E3AF9"/>
    <w:rsid w:val="00202E5A"/>
    <w:rsid w:val="00205C4C"/>
    <w:rsid w:val="00234A1C"/>
    <w:rsid w:val="00250FC0"/>
    <w:rsid w:val="0027325A"/>
    <w:rsid w:val="00275083"/>
    <w:rsid w:val="00280F7C"/>
    <w:rsid w:val="002C16B6"/>
    <w:rsid w:val="002C4FB5"/>
    <w:rsid w:val="002E454C"/>
    <w:rsid w:val="003027D2"/>
    <w:rsid w:val="003063D0"/>
    <w:rsid w:val="0030690A"/>
    <w:rsid w:val="00312DAD"/>
    <w:rsid w:val="00330853"/>
    <w:rsid w:val="00371AEC"/>
    <w:rsid w:val="00383191"/>
    <w:rsid w:val="003A2A20"/>
    <w:rsid w:val="003C3B11"/>
    <w:rsid w:val="003C63BE"/>
    <w:rsid w:val="003D41CE"/>
    <w:rsid w:val="003E60E4"/>
    <w:rsid w:val="003E751A"/>
    <w:rsid w:val="00407676"/>
    <w:rsid w:val="004215A5"/>
    <w:rsid w:val="0043326F"/>
    <w:rsid w:val="00436A92"/>
    <w:rsid w:val="00440C0B"/>
    <w:rsid w:val="00445769"/>
    <w:rsid w:val="00446C4C"/>
    <w:rsid w:val="00460BC4"/>
    <w:rsid w:val="0046455A"/>
    <w:rsid w:val="00480F60"/>
    <w:rsid w:val="004817FF"/>
    <w:rsid w:val="004B0258"/>
    <w:rsid w:val="004B0491"/>
    <w:rsid w:val="004C64C3"/>
    <w:rsid w:val="00523B2A"/>
    <w:rsid w:val="0055461A"/>
    <w:rsid w:val="00563024"/>
    <w:rsid w:val="005922F9"/>
    <w:rsid w:val="005B5F8E"/>
    <w:rsid w:val="005E57CB"/>
    <w:rsid w:val="005F4398"/>
    <w:rsid w:val="0060549A"/>
    <w:rsid w:val="00665887"/>
    <w:rsid w:val="00671222"/>
    <w:rsid w:val="0067541B"/>
    <w:rsid w:val="006767BB"/>
    <w:rsid w:val="00677C41"/>
    <w:rsid w:val="006E63BD"/>
    <w:rsid w:val="006F2E82"/>
    <w:rsid w:val="006F4595"/>
    <w:rsid w:val="006F5FB7"/>
    <w:rsid w:val="0071242C"/>
    <w:rsid w:val="0072587F"/>
    <w:rsid w:val="00731E52"/>
    <w:rsid w:val="00746622"/>
    <w:rsid w:val="00764230"/>
    <w:rsid w:val="007753F2"/>
    <w:rsid w:val="00775C39"/>
    <w:rsid w:val="00780405"/>
    <w:rsid w:val="0078659F"/>
    <w:rsid w:val="007A3853"/>
    <w:rsid w:val="007C2B0A"/>
    <w:rsid w:val="007E60EB"/>
    <w:rsid w:val="007F2A3E"/>
    <w:rsid w:val="007F5033"/>
    <w:rsid w:val="007F672B"/>
    <w:rsid w:val="007F7D8D"/>
    <w:rsid w:val="008002CC"/>
    <w:rsid w:val="008042F6"/>
    <w:rsid w:val="008103A7"/>
    <w:rsid w:val="00850037"/>
    <w:rsid w:val="00850A77"/>
    <w:rsid w:val="0086154A"/>
    <w:rsid w:val="00866267"/>
    <w:rsid w:val="008B04FE"/>
    <w:rsid w:val="008E4AF5"/>
    <w:rsid w:val="00902C5F"/>
    <w:rsid w:val="00922EF3"/>
    <w:rsid w:val="00930B7D"/>
    <w:rsid w:val="00971568"/>
    <w:rsid w:val="00974470"/>
    <w:rsid w:val="00984232"/>
    <w:rsid w:val="009872DF"/>
    <w:rsid w:val="00992E10"/>
    <w:rsid w:val="009B23C3"/>
    <w:rsid w:val="009B709B"/>
    <w:rsid w:val="009C1441"/>
    <w:rsid w:val="009E09D2"/>
    <w:rsid w:val="00A101CC"/>
    <w:rsid w:val="00A215C1"/>
    <w:rsid w:val="00A31092"/>
    <w:rsid w:val="00A415FA"/>
    <w:rsid w:val="00A6100E"/>
    <w:rsid w:val="00A74F25"/>
    <w:rsid w:val="00A80E86"/>
    <w:rsid w:val="00AA62AB"/>
    <w:rsid w:val="00AB7F9A"/>
    <w:rsid w:val="00AC3DE5"/>
    <w:rsid w:val="00AD4EEB"/>
    <w:rsid w:val="00AE53DD"/>
    <w:rsid w:val="00B04DE0"/>
    <w:rsid w:val="00B20CE3"/>
    <w:rsid w:val="00B23EBB"/>
    <w:rsid w:val="00B37277"/>
    <w:rsid w:val="00B50CBB"/>
    <w:rsid w:val="00B753AE"/>
    <w:rsid w:val="00B778B3"/>
    <w:rsid w:val="00B80EAF"/>
    <w:rsid w:val="00B82D0B"/>
    <w:rsid w:val="00B901CB"/>
    <w:rsid w:val="00B96D18"/>
    <w:rsid w:val="00BB180F"/>
    <w:rsid w:val="00BB2896"/>
    <w:rsid w:val="00BB502D"/>
    <w:rsid w:val="00BD7644"/>
    <w:rsid w:val="00BE02E3"/>
    <w:rsid w:val="00BE4486"/>
    <w:rsid w:val="00BF2789"/>
    <w:rsid w:val="00BF2EB8"/>
    <w:rsid w:val="00BF4428"/>
    <w:rsid w:val="00C0396F"/>
    <w:rsid w:val="00C17E27"/>
    <w:rsid w:val="00C272BD"/>
    <w:rsid w:val="00C5311F"/>
    <w:rsid w:val="00C55C4C"/>
    <w:rsid w:val="00C76E02"/>
    <w:rsid w:val="00C81A2B"/>
    <w:rsid w:val="00C82CCF"/>
    <w:rsid w:val="00C92F44"/>
    <w:rsid w:val="00CB1BF3"/>
    <w:rsid w:val="00CB5947"/>
    <w:rsid w:val="00CC54C3"/>
    <w:rsid w:val="00CD43A2"/>
    <w:rsid w:val="00CE0B0B"/>
    <w:rsid w:val="00D10F47"/>
    <w:rsid w:val="00D361E9"/>
    <w:rsid w:val="00D470DE"/>
    <w:rsid w:val="00D509C9"/>
    <w:rsid w:val="00D548E2"/>
    <w:rsid w:val="00D603E0"/>
    <w:rsid w:val="00D7660B"/>
    <w:rsid w:val="00D844DF"/>
    <w:rsid w:val="00D900C7"/>
    <w:rsid w:val="00DD3A12"/>
    <w:rsid w:val="00DD3F7C"/>
    <w:rsid w:val="00DD4AE4"/>
    <w:rsid w:val="00DF5066"/>
    <w:rsid w:val="00DF5AC5"/>
    <w:rsid w:val="00E043E0"/>
    <w:rsid w:val="00E050AF"/>
    <w:rsid w:val="00E06D3B"/>
    <w:rsid w:val="00E179A4"/>
    <w:rsid w:val="00E22347"/>
    <w:rsid w:val="00E71B28"/>
    <w:rsid w:val="00E732F2"/>
    <w:rsid w:val="00EA5295"/>
    <w:rsid w:val="00EB6FD5"/>
    <w:rsid w:val="00EC1F99"/>
    <w:rsid w:val="00ED535A"/>
    <w:rsid w:val="00F00862"/>
    <w:rsid w:val="00F031C1"/>
    <w:rsid w:val="00F1417F"/>
    <w:rsid w:val="00F56D61"/>
    <w:rsid w:val="00F57A27"/>
    <w:rsid w:val="00FA707D"/>
    <w:rsid w:val="00FB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E84E28-4407-4E40-BD14-892F4BA1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ind w:left="-720" w:right="-72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ind w:right="-54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1440" w:hanging="1440"/>
    </w:pPr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lockText">
    <w:name w:val="Block Text"/>
    <w:basedOn w:val="Normal"/>
    <w:pPr>
      <w:ind w:left="1440" w:right="-720" w:hanging="1440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NormalWeb">
    <w:name w:val="Normal (Web)"/>
    <w:basedOn w:val="Normal"/>
    <w:rsid w:val="002C4FB5"/>
    <w:pPr>
      <w:spacing w:before="100" w:beforeAutospacing="1" w:after="100" w:afterAutospacing="1"/>
    </w:pPr>
    <w:rPr>
      <w:color w:val="000000"/>
      <w:sz w:val="24"/>
      <w:szCs w:val="24"/>
    </w:rPr>
  </w:style>
  <w:style w:type="table" w:styleId="TableGrid">
    <w:name w:val="Table Grid"/>
    <w:basedOn w:val="TableNormal"/>
    <w:rsid w:val="00306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BE44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E44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Synthesis and Characterization</vt:lpstr>
    </vt:vector>
  </TitlesOfParts>
  <Company>florida atlantic university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Synthesis and Characterization</dc:title>
  <dc:creator>rkerr</dc:creator>
  <cp:lastModifiedBy>Maria Jennings</cp:lastModifiedBy>
  <cp:revision>2</cp:revision>
  <cp:lastPrinted>2016-01-11T17:45:00Z</cp:lastPrinted>
  <dcterms:created xsi:type="dcterms:W3CDTF">2017-10-04T20:48:00Z</dcterms:created>
  <dcterms:modified xsi:type="dcterms:W3CDTF">2017-10-04T20:48:00Z</dcterms:modified>
</cp:coreProperties>
</file>