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8307A" w:rsidRDefault="006F07C9">
      <w:pPr>
        <w:spacing w:before="100" w:after="100" w:line="240" w:lineRule="auto"/>
        <w:jc w:val="right"/>
      </w:pPr>
      <w:bookmarkStart w:id="0" w:name="_GoBack"/>
      <w:bookmarkEnd w:id="0"/>
      <w:r>
        <w:rPr>
          <w:rFonts w:ascii="Arial" w:eastAsia="Arial" w:hAnsi="Arial" w:cs="Arial"/>
          <w:sz w:val="24"/>
        </w:rPr>
        <w:t>Dr. Kevin Lanning</w:t>
      </w:r>
      <w:r>
        <w:rPr>
          <w:rFonts w:ascii="Arial" w:eastAsia="Arial" w:hAnsi="Arial" w:cs="Arial"/>
          <w:sz w:val="24"/>
        </w:rPr>
        <w:br/>
        <w:t>Dr. Kanybek Nur-tegin</w:t>
      </w:r>
      <w:r>
        <w:rPr>
          <w:rFonts w:ascii="Arial" w:eastAsia="Arial" w:hAnsi="Arial" w:cs="Arial"/>
          <w:sz w:val="24"/>
        </w:rPr>
        <w:br/>
      </w:r>
      <w:r w:rsidR="001C105B">
        <w:rPr>
          <w:rFonts w:ascii="Arial" w:eastAsia="Arial" w:hAnsi="Arial" w:cs="Arial"/>
          <w:sz w:val="24"/>
        </w:rPr>
        <w:t>Fall</w:t>
      </w:r>
      <w:r>
        <w:rPr>
          <w:rFonts w:ascii="Arial" w:eastAsia="Arial" w:hAnsi="Arial" w:cs="Arial"/>
          <w:sz w:val="24"/>
        </w:rPr>
        <w:t xml:space="preserve"> 201</w:t>
      </w:r>
      <w:r w:rsidR="001C105B">
        <w:rPr>
          <w:rFonts w:ascii="Arial" w:eastAsia="Arial" w:hAnsi="Arial" w:cs="Arial"/>
          <w:sz w:val="24"/>
        </w:rPr>
        <w:t>5</w:t>
      </w:r>
    </w:p>
    <w:p w:rsidR="0018307A" w:rsidRDefault="006F07C9">
      <w:pPr>
        <w:spacing w:before="100" w:after="100" w:line="240" w:lineRule="auto"/>
        <w:jc w:val="center"/>
      </w:pPr>
      <w:r>
        <w:rPr>
          <w:rFonts w:ascii="Arial" w:eastAsia="Arial" w:hAnsi="Arial" w:cs="Arial"/>
          <w:b/>
          <w:sz w:val="24"/>
        </w:rPr>
        <w:t>EXP 4631 – Honors Thinking and Decision Making/</w:t>
      </w:r>
      <w:r>
        <w:rPr>
          <w:rFonts w:ascii="Arial" w:eastAsia="Arial" w:hAnsi="Arial" w:cs="Arial"/>
          <w:b/>
          <w:sz w:val="24"/>
        </w:rPr>
        <w:br/>
        <w:t xml:space="preserve">ECO 4932 – Honors Behavioral Economics </w:t>
      </w:r>
    </w:p>
    <w:p w:rsidR="0018307A" w:rsidRDefault="006F07C9">
      <w:pPr>
        <w:spacing w:before="100" w:after="100" w:line="240" w:lineRule="auto"/>
        <w:jc w:val="center"/>
      </w:pPr>
      <w:r>
        <w:rPr>
          <w:noProof/>
        </w:rPr>
        <w:drawing>
          <wp:inline distT="0" distB="0" distL="114300" distR="114300">
            <wp:extent cx="5715000" cy="9906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rcRect/>
                    <a:stretch>
                      <a:fillRect/>
                    </a:stretch>
                  </pic:blipFill>
                  <pic:spPr>
                    <a:xfrm>
                      <a:off x="0" y="0"/>
                      <a:ext cx="5715000" cy="99060"/>
                    </a:xfrm>
                    <a:prstGeom prst="rect">
                      <a:avLst/>
                    </a:prstGeom>
                  </pic:spPr>
                </pic:pic>
              </a:graphicData>
            </a:graphic>
          </wp:inline>
        </w:drawing>
      </w:r>
    </w:p>
    <w:p w:rsidR="0018307A" w:rsidRDefault="006F07C9">
      <w:pPr>
        <w:spacing w:after="100" w:line="240" w:lineRule="auto"/>
      </w:pPr>
      <w:r>
        <w:rPr>
          <w:noProof/>
        </w:rPr>
        <w:drawing>
          <wp:inline distT="0" distB="0" distL="114300" distR="114300">
            <wp:extent cx="6200775" cy="3408218"/>
            <wp:effectExtent l="0" t="0" r="0" b="1905"/>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6222985" cy="3420426"/>
                    </a:xfrm>
                    <a:prstGeom prst="rect">
                      <a:avLst/>
                    </a:prstGeom>
                  </pic:spPr>
                </pic:pic>
              </a:graphicData>
            </a:graphic>
          </wp:inline>
        </w:drawing>
      </w:r>
    </w:p>
    <w:p w:rsidR="0018307A" w:rsidRDefault="006F07C9">
      <w:pPr>
        <w:spacing w:after="100" w:line="240" w:lineRule="auto"/>
      </w:pPr>
      <w:r>
        <w:rPr>
          <w:rFonts w:ascii="Arial" w:eastAsia="Arial" w:hAnsi="Arial" w:cs="Arial"/>
          <w:b/>
        </w:rPr>
        <w:t>Introduction</w:t>
      </w:r>
    </w:p>
    <w:p w:rsidR="0018307A" w:rsidRDefault="006F07C9">
      <w:pPr>
        <w:spacing w:before="100" w:after="100"/>
        <w:ind w:left="720" w:right="720"/>
      </w:pPr>
      <w:r>
        <w:rPr>
          <w:rFonts w:ascii="Arial" w:eastAsia="Arial" w:hAnsi="Arial" w:cs="Arial"/>
          <w:sz w:val="24"/>
        </w:rPr>
        <w:t xml:space="preserve">The study of thinking and decision making is central in the liberal arts, for it lies at the nexus of the two major approaches to understanding the world, reason and empiricism.  </w:t>
      </w:r>
      <w:r w:rsidR="00462895">
        <w:rPr>
          <w:rFonts w:ascii="Arial" w:eastAsia="Arial" w:hAnsi="Arial" w:cs="Arial"/>
          <w:sz w:val="24"/>
        </w:rPr>
        <w:t xml:space="preserve">Within economics, the topic has recently been articulated as </w:t>
      </w:r>
      <w:r>
        <w:rPr>
          <w:rFonts w:ascii="Arial" w:eastAsia="Arial" w:hAnsi="Arial" w:cs="Arial"/>
          <w:sz w:val="24"/>
        </w:rPr>
        <w:t xml:space="preserve">the subdiscipline of Behavioral Economics.  The sources we will consider this term derive from both </w:t>
      </w:r>
      <w:r w:rsidR="00462895">
        <w:rPr>
          <w:rFonts w:ascii="Arial" w:eastAsia="Arial" w:hAnsi="Arial" w:cs="Arial"/>
          <w:sz w:val="24"/>
        </w:rPr>
        <w:t>psychology and economics</w:t>
      </w:r>
      <w:r>
        <w:rPr>
          <w:rFonts w:ascii="Arial" w:eastAsia="Arial" w:hAnsi="Arial" w:cs="Arial"/>
          <w:sz w:val="24"/>
        </w:rPr>
        <w:t xml:space="preserve"> and have relevance to public policy as well.  The leading figures in the field include Daniel Kahneman, a psychologist, who was awarded the Nobel Prize in Economics in 2002.</w:t>
      </w:r>
    </w:p>
    <w:p w:rsidR="0018307A" w:rsidRDefault="006F07C9">
      <w:pPr>
        <w:spacing w:before="100" w:after="100"/>
        <w:ind w:left="720" w:right="720"/>
      </w:pPr>
      <w:r>
        <w:rPr>
          <w:rFonts w:ascii="Arial" w:eastAsia="Arial" w:hAnsi="Arial" w:cs="Arial"/>
          <w:sz w:val="24"/>
        </w:rPr>
        <w:t>In this course, we will consider both normative models of how we should reason and empirical studies of how we in fact think and decide. Much of the research has been on seeming discrepancies between normative models and empirical data.  These discrepancies call into question a central premise in both psychology (that behavior is largely functional) and economics (that people are rational decision makers). </w:t>
      </w:r>
    </w:p>
    <w:p w:rsidR="0018307A" w:rsidRDefault="006F07C9">
      <w:pPr>
        <w:spacing w:before="100" w:after="100"/>
        <w:ind w:left="720" w:right="720"/>
      </w:pPr>
      <w:r>
        <w:rPr>
          <w:rFonts w:ascii="Arial" w:eastAsia="Arial" w:hAnsi="Arial" w:cs="Arial"/>
          <w:sz w:val="24"/>
        </w:rPr>
        <w:t>The study of thinking and decision making has practical as well as academic significance.  In this course, by understanding normative models and human shortfalls, you are likely to learn to reason better, and to make better decisions in your own personal life and career (Lilienfeld, Ammirati, &amp; Landfield, 2009; Nisbett, Fong, Lehman, &amp; Cheng, 1987). This is not a trivial thing.</w:t>
      </w:r>
    </w:p>
    <w:p w:rsidR="00462895" w:rsidRDefault="00462895">
      <w:pPr>
        <w:rPr>
          <w:rFonts w:ascii="Arial" w:eastAsia="Arial" w:hAnsi="Arial" w:cs="Arial"/>
          <w:b/>
          <w:sz w:val="24"/>
        </w:rPr>
      </w:pPr>
      <w:r>
        <w:rPr>
          <w:rFonts w:ascii="Arial" w:eastAsia="Arial" w:hAnsi="Arial" w:cs="Arial"/>
          <w:b/>
          <w:sz w:val="24"/>
        </w:rPr>
        <w:br w:type="page"/>
      </w:r>
    </w:p>
    <w:p w:rsidR="0018307A" w:rsidRDefault="006F07C9">
      <w:pPr>
        <w:spacing w:after="0" w:line="240" w:lineRule="auto"/>
      </w:pPr>
      <w:r>
        <w:rPr>
          <w:rFonts w:ascii="Arial" w:eastAsia="Arial" w:hAnsi="Arial" w:cs="Arial"/>
          <w:b/>
          <w:sz w:val="24"/>
        </w:rPr>
        <w:lastRenderedPageBreak/>
        <w:t>Prerequisites</w:t>
      </w:r>
      <w:r w:rsidR="0025593C">
        <w:rPr>
          <w:rFonts w:ascii="Arial" w:eastAsia="Arial" w:hAnsi="Arial" w:cs="Arial"/>
          <w:b/>
          <w:sz w:val="24"/>
        </w:rPr>
        <w:t xml:space="preserve"> and meeting time</w:t>
      </w:r>
    </w:p>
    <w:p w:rsidR="0018307A" w:rsidRDefault="006F07C9">
      <w:pPr>
        <w:spacing w:before="100" w:after="100"/>
        <w:ind w:left="720" w:right="720"/>
      </w:pPr>
      <w:r>
        <w:rPr>
          <w:rFonts w:ascii="Arial" w:eastAsia="Arial" w:hAnsi="Arial" w:cs="Arial"/>
          <w:sz w:val="24"/>
        </w:rPr>
        <w:t>Ideally, students should have taken one or more courses in psychology, economics, and/or statistics. </w:t>
      </w:r>
      <w:r w:rsidR="0025593C" w:rsidRPr="0025593C">
        <w:rPr>
          <w:rFonts w:ascii="Arial" w:eastAsia="Arial" w:hAnsi="Arial" w:cs="Arial"/>
          <w:sz w:val="24"/>
        </w:rPr>
        <w:t xml:space="preserve">The course meets MW </w:t>
      </w:r>
      <w:r w:rsidR="00F82E1A">
        <w:rPr>
          <w:rFonts w:ascii="Arial" w:eastAsia="Arial" w:hAnsi="Arial" w:cs="Arial"/>
          <w:sz w:val="24"/>
        </w:rPr>
        <w:t>12:</w:t>
      </w:r>
      <w:r w:rsidR="0025593C">
        <w:rPr>
          <w:rFonts w:ascii="Arial" w:eastAsia="Arial" w:hAnsi="Arial" w:cs="Arial"/>
          <w:sz w:val="24"/>
        </w:rPr>
        <w:t>30-</w:t>
      </w:r>
      <w:r w:rsidR="00F82E1A">
        <w:rPr>
          <w:rFonts w:ascii="Arial" w:eastAsia="Arial" w:hAnsi="Arial" w:cs="Arial"/>
          <w:sz w:val="24"/>
        </w:rPr>
        <w:t>1:</w:t>
      </w:r>
      <w:r w:rsidR="0025593C">
        <w:rPr>
          <w:rFonts w:ascii="Arial" w:eastAsia="Arial" w:hAnsi="Arial" w:cs="Arial"/>
          <w:sz w:val="24"/>
        </w:rPr>
        <w:t>50</w:t>
      </w:r>
      <w:r w:rsidR="0025593C" w:rsidRPr="0025593C">
        <w:rPr>
          <w:rFonts w:ascii="Arial" w:eastAsia="Arial" w:hAnsi="Arial" w:cs="Arial"/>
          <w:sz w:val="24"/>
        </w:rPr>
        <w:t xml:space="preserve"> PM</w:t>
      </w:r>
      <w:r w:rsidR="0025593C">
        <w:rPr>
          <w:rFonts w:ascii="Arial" w:eastAsia="Arial" w:hAnsi="Arial" w:cs="Arial"/>
          <w:sz w:val="24"/>
        </w:rPr>
        <w:t xml:space="preserve"> </w:t>
      </w:r>
      <w:r w:rsidR="007D6DCC">
        <w:rPr>
          <w:rFonts w:ascii="Arial" w:eastAsia="Arial" w:hAnsi="Arial" w:cs="Arial"/>
          <w:sz w:val="24"/>
        </w:rPr>
        <w:t>in WB 105</w:t>
      </w:r>
      <w:r w:rsidR="00F82E1A">
        <w:rPr>
          <w:rFonts w:ascii="Arial" w:eastAsia="Arial" w:hAnsi="Arial" w:cs="Arial"/>
          <w:sz w:val="24"/>
        </w:rPr>
        <w:t xml:space="preserve"> </w:t>
      </w:r>
      <w:r w:rsidR="0025593C" w:rsidRPr="0025593C">
        <w:rPr>
          <w:rFonts w:ascii="Arial" w:eastAsia="Arial" w:hAnsi="Arial" w:cs="Arial"/>
          <w:sz w:val="24"/>
        </w:rPr>
        <w:t>on the Jupiter campus.</w:t>
      </w:r>
    </w:p>
    <w:p w:rsidR="0018307A" w:rsidRDefault="006F07C9">
      <w:pPr>
        <w:spacing w:before="100" w:after="100" w:line="240" w:lineRule="auto"/>
      </w:pPr>
      <w:r>
        <w:rPr>
          <w:rFonts w:ascii="Arial" w:eastAsia="Arial" w:hAnsi="Arial" w:cs="Arial"/>
          <w:b/>
          <w:sz w:val="24"/>
        </w:rPr>
        <w:t>Instructor</w:t>
      </w:r>
    </w:p>
    <w:p w:rsidR="0018307A" w:rsidRDefault="006F07C9">
      <w:pPr>
        <w:spacing w:before="100" w:after="100"/>
        <w:ind w:left="720" w:right="720"/>
      </w:pPr>
      <w:r>
        <w:rPr>
          <w:rFonts w:ascii="Arial" w:eastAsia="Arial" w:hAnsi="Arial" w:cs="Arial"/>
          <w:sz w:val="24"/>
        </w:rPr>
        <w:t>Dr. Kevin Lanning (</w:t>
      </w:r>
      <w:r>
        <w:rPr>
          <w:rFonts w:ascii="Arial" w:eastAsia="Arial" w:hAnsi="Arial" w:cs="Arial"/>
          <w:color w:val="3333CC"/>
          <w:sz w:val="24"/>
          <w:u w:val="single"/>
        </w:rPr>
        <w:t>lanning@fau.edu</w:t>
      </w:r>
      <w:r>
        <w:rPr>
          <w:rFonts w:ascii="Arial" w:eastAsia="Arial" w:hAnsi="Arial" w:cs="Arial"/>
          <w:sz w:val="24"/>
        </w:rPr>
        <w:t>). Office is WB 220; hours are M</w:t>
      </w:r>
      <w:r w:rsidR="00395673">
        <w:rPr>
          <w:rFonts w:ascii="Arial" w:eastAsia="Arial" w:hAnsi="Arial" w:cs="Arial"/>
          <w:sz w:val="24"/>
        </w:rPr>
        <w:t xml:space="preserve"> 2-4 and Tues 12-4</w:t>
      </w:r>
      <w:r>
        <w:rPr>
          <w:rFonts w:ascii="Arial" w:eastAsia="Arial" w:hAnsi="Arial" w:cs="Arial"/>
          <w:sz w:val="24"/>
        </w:rPr>
        <w:t xml:space="preserve"> &amp; by appointment. </w:t>
      </w:r>
      <w:r>
        <w:rPr>
          <w:rFonts w:ascii="Arial" w:eastAsia="Arial" w:hAnsi="Arial" w:cs="Arial"/>
          <w:sz w:val="24"/>
        </w:rPr>
        <w:br/>
        <w:t>Dr. Kanybek Nur-tegin (</w:t>
      </w:r>
      <w:r>
        <w:rPr>
          <w:rFonts w:ascii="Arial" w:eastAsia="Arial" w:hAnsi="Arial" w:cs="Arial"/>
          <w:color w:val="3333CC"/>
          <w:sz w:val="24"/>
          <w:u w:val="single"/>
        </w:rPr>
        <w:t>knurtegi@fau.edu</w:t>
      </w:r>
      <w:r>
        <w:rPr>
          <w:rFonts w:ascii="Arial" w:eastAsia="Arial" w:hAnsi="Arial" w:cs="Arial"/>
          <w:sz w:val="24"/>
        </w:rPr>
        <w:t>). Office is HA 12</w:t>
      </w:r>
      <w:r w:rsidR="00F82E1A">
        <w:rPr>
          <w:rFonts w:ascii="Arial" w:eastAsia="Arial" w:hAnsi="Arial" w:cs="Arial"/>
          <w:sz w:val="24"/>
        </w:rPr>
        <w:t>3</w:t>
      </w:r>
      <w:r>
        <w:rPr>
          <w:rFonts w:ascii="Arial" w:eastAsia="Arial" w:hAnsi="Arial" w:cs="Arial"/>
          <w:sz w:val="24"/>
        </w:rPr>
        <w:t xml:space="preserve">; hours are MW </w:t>
      </w:r>
      <w:r w:rsidR="00F82E1A">
        <w:rPr>
          <w:rFonts w:ascii="Arial" w:eastAsia="Arial" w:hAnsi="Arial" w:cs="Arial"/>
          <w:sz w:val="24"/>
        </w:rPr>
        <w:t>11-</w:t>
      </w:r>
      <w:r>
        <w:rPr>
          <w:rFonts w:ascii="Arial" w:eastAsia="Arial" w:hAnsi="Arial" w:cs="Arial"/>
          <w:sz w:val="24"/>
        </w:rPr>
        <w:t>1</w:t>
      </w:r>
      <w:r w:rsidR="00F82E1A">
        <w:rPr>
          <w:rFonts w:ascii="Arial" w:eastAsia="Arial" w:hAnsi="Arial" w:cs="Arial"/>
          <w:sz w:val="24"/>
        </w:rPr>
        <w:t>2</w:t>
      </w:r>
      <w:r>
        <w:rPr>
          <w:rFonts w:ascii="Arial" w:eastAsia="Arial" w:hAnsi="Arial" w:cs="Arial"/>
          <w:sz w:val="24"/>
        </w:rPr>
        <w:t xml:space="preserve"> </w:t>
      </w:r>
      <w:r w:rsidR="00F82E1A">
        <w:rPr>
          <w:rFonts w:ascii="Arial" w:eastAsia="Arial" w:hAnsi="Arial" w:cs="Arial"/>
          <w:sz w:val="24"/>
        </w:rPr>
        <w:t>p</w:t>
      </w:r>
      <w:r>
        <w:rPr>
          <w:rFonts w:ascii="Arial" w:eastAsia="Arial" w:hAnsi="Arial" w:cs="Arial"/>
          <w:sz w:val="24"/>
        </w:rPr>
        <w:t xml:space="preserve">m &amp; </w:t>
      </w:r>
      <w:r w:rsidR="00F82E1A">
        <w:rPr>
          <w:rFonts w:ascii="Arial" w:eastAsia="Arial" w:hAnsi="Arial" w:cs="Arial"/>
          <w:sz w:val="24"/>
        </w:rPr>
        <w:t>3:30-4:30</w:t>
      </w:r>
      <w:r>
        <w:rPr>
          <w:rFonts w:ascii="Arial" w:eastAsia="Arial" w:hAnsi="Arial" w:cs="Arial"/>
          <w:sz w:val="24"/>
        </w:rPr>
        <w:t xml:space="preserve"> pm and by appointment. </w:t>
      </w:r>
    </w:p>
    <w:p w:rsidR="0018307A" w:rsidRDefault="006F07C9">
      <w:pPr>
        <w:spacing w:after="0" w:line="240" w:lineRule="auto"/>
      </w:pPr>
      <w:r>
        <w:rPr>
          <w:rFonts w:ascii="Arial" w:eastAsia="Arial" w:hAnsi="Arial" w:cs="Arial"/>
          <w:b/>
          <w:sz w:val="24"/>
        </w:rPr>
        <w:t>Texts</w:t>
      </w:r>
    </w:p>
    <w:p w:rsidR="0018307A" w:rsidRDefault="006F07C9">
      <w:pPr>
        <w:spacing w:before="100" w:after="100"/>
        <w:ind w:left="720" w:right="720"/>
      </w:pPr>
      <w:r>
        <w:rPr>
          <w:rFonts w:ascii="Arial" w:eastAsia="Arial" w:hAnsi="Arial" w:cs="Arial"/>
          <w:sz w:val="24"/>
        </w:rPr>
        <w:t>Angner, E. (2012).</w:t>
      </w:r>
      <w:r>
        <w:rPr>
          <w:rFonts w:ascii="Arial" w:eastAsia="Arial" w:hAnsi="Arial" w:cs="Arial"/>
          <w:i/>
          <w:sz w:val="24"/>
        </w:rPr>
        <w:t xml:space="preserve"> A course in behavioral economics.</w:t>
      </w:r>
      <w:r>
        <w:rPr>
          <w:rFonts w:ascii="Arial" w:eastAsia="Arial" w:hAnsi="Arial" w:cs="Arial"/>
          <w:sz w:val="24"/>
        </w:rPr>
        <w:t xml:space="preserve"> Palgrave. (required)</w:t>
      </w:r>
    </w:p>
    <w:p w:rsidR="0018307A" w:rsidRDefault="006F07C9">
      <w:pPr>
        <w:spacing w:before="100" w:after="100"/>
        <w:ind w:left="720" w:right="720"/>
      </w:pPr>
      <w:r>
        <w:rPr>
          <w:rFonts w:ascii="Arial" w:eastAsia="Arial" w:hAnsi="Arial" w:cs="Arial"/>
          <w:sz w:val="24"/>
        </w:rPr>
        <w:t xml:space="preserve">Hastie, R. &amp; Dawes, R. M. (2010). </w:t>
      </w:r>
      <w:r>
        <w:rPr>
          <w:rFonts w:ascii="Arial" w:eastAsia="Arial" w:hAnsi="Arial" w:cs="Arial"/>
          <w:i/>
          <w:sz w:val="24"/>
        </w:rPr>
        <w:t xml:space="preserve">Rational choice in an uncertain world, 2nd Ed. </w:t>
      </w:r>
      <w:r>
        <w:rPr>
          <w:rFonts w:ascii="Arial" w:eastAsia="Arial" w:hAnsi="Arial" w:cs="Arial"/>
          <w:sz w:val="24"/>
        </w:rPr>
        <w:t>Thousand Oaks: Sage (required)</w:t>
      </w:r>
    </w:p>
    <w:p w:rsidR="0018307A" w:rsidRDefault="006F07C9">
      <w:pPr>
        <w:spacing w:before="100" w:after="100"/>
        <w:ind w:left="720" w:right="720"/>
        <w:rPr>
          <w:rFonts w:ascii="Arial" w:eastAsia="Arial" w:hAnsi="Arial" w:cs="Arial"/>
          <w:sz w:val="24"/>
        </w:rPr>
      </w:pPr>
      <w:r>
        <w:rPr>
          <w:rFonts w:ascii="Arial" w:eastAsia="Arial" w:hAnsi="Arial" w:cs="Arial"/>
          <w:sz w:val="24"/>
        </w:rPr>
        <w:t xml:space="preserve">Baron, J. (2008). </w:t>
      </w:r>
      <w:r>
        <w:rPr>
          <w:rFonts w:ascii="Arial" w:eastAsia="Arial" w:hAnsi="Arial" w:cs="Arial"/>
          <w:i/>
          <w:sz w:val="24"/>
        </w:rPr>
        <w:t>Thinking and deciding (4th ed.).</w:t>
      </w:r>
      <w:r>
        <w:rPr>
          <w:rFonts w:ascii="Arial" w:eastAsia="Arial" w:hAnsi="Arial" w:cs="Arial"/>
          <w:sz w:val="24"/>
        </w:rPr>
        <w:t xml:space="preserve"> NY: Cambridge UP. (recommended; 3rd Ed ok)</w:t>
      </w:r>
    </w:p>
    <w:p w:rsidR="00F82E1A" w:rsidRPr="00F82E1A" w:rsidRDefault="00F82E1A">
      <w:pPr>
        <w:spacing w:before="100" w:after="100"/>
        <w:ind w:left="720" w:right="720"/>
      </w:pPr>
      <w:r>
        <w:rPr>
          <w:rFonts w:ascii="Arial" w:eastAsia="Arial" w:hAnsi="Arial" w:cs="Arial"/>
          <w:sz w:val="24"/>
        </w:rPr>
        <w:t xml:space="preserve">Thaler, R. (2015). </w:t>
      </w:r>
      <w:r>
        <w:rPr>
          <w:rFonts w:ascii="Arial" w:eastAsia="Arial" w:hAnsi="Arial" w:cs="Arial"/>
          <w:i/>
          <w:sz w:val="24"/>
        </w:rPr>
        <w:t>Misbehaving: The Making of Behavioral Economics</w:t>
      </w:r>
      <w:r>
        <w:rPr>
          <w:rFonts w:ascii="Arial" w:eastAsia="Arial" w:hAnsi="Arial" w:cs="Arial"/>
          <w:sz w:val="24"/>
        </w:rPr>
        <w:t>. W.W. Norton &amp; Company. (recommended)</w:t>
      </w:r>
    </w:p>
    <w:p w:rsidR="0018307A" w:rsidRDefault="006F07C9">
      <w:pPr>
        <w:spacing w:before="100" w:after="100"/>
        <w:ind w:left="720" w:right="720"/>
      </w:pPr>
      <w:r>
        <w:rPr>
          <w:rFonts w:ascii="Arial" w:eastAsia="Arial" w:hAnsi="Arial" w:cs="Arial"/>
          <w:sz w:val="24"/>
        </w:rPr>
        <w:t>In addition, a number of research articles will be assigned and available on MyFAU</w:t>
      </w:r>
      <w:r w:rsidR="00462895">
        <w:rPr>
          <w:rFonts w:ascii="Arial" w:eastAsia="Arial" w:hAnsi="Arial" w:cs="Arial"/>
          <w:sz w:val="24"/>
        </w:rPr>
        <w:t>, and students will be expected to read part or all of one or more trade paperbacks as described in the next section.</w:t>
      </w:r>
    </w:p>
    <w:p w:rsidR="0018307A" w:rsidRDefault="006F07C9">
      <w:pPr>
        <w:spacing w:after="0" w:line="240" w:lineRule="auto"/>
      </w:pPr>
      <w:r>
        <w:rPr>
          <w:rFonts w:ascii="Arial" w:eastAsia="Arial" w:hAnsi="Arial" w:cs="Arial"/>
          <w:b/>
          <w:sz w:val="24"/>
        </w:rPr>
        <w:t>Grading &amp; assignments</w:t>
      </w:r>
    </w:p>
    <w:p w:rsidR="0018307A" w:rsidRDefault="006F07C9">
      <w:pPr>
        <w:spacing w:before="100" w:after="100"/>
        <w:ind w:left="720" w:right="720"/>
      </w:pPr>
      <w:r>
        <w:rPr>
          <w:rFonts w:ascii="Arial" w:eastAsia="Arial" w:hAnsi="Arial" w:cs="Arial"/>
          <w:sz w:val="24"/>
        </w:rPr>
        <w:t>Grades in this class will be based on exams (20% midterm, 30% final), a term paper and presentation (30%), and class participation (20%). Attendance is a necessary but not sufficient component of class participation; informed questions, comments, and contributions to class discussion are needed as well.</w:t>
      </w:r>
    </w:p>
    <w:p w:rsidR="0018307A" w:rsidRDefault="006F07C9">
      <w:pPr>
        <w:spacing w:before="100" w:after="100"/>
        <w:ind w:left="720" w:right="720"/>
      </w:pPr>
      <w:r>
        <w:rPr>
          <w:rFonts w:ascii="Arial" w:eastAsia="Arial" w:hAnsi="Arial" w:cs="Arial"/>
          <w:sz w:val="24"/>
        </w:rPr>
        <w:t xml:space="preserve">The term paper will be a review of part or all of a recent popular book in behavioral economics and related disciplines.  These include </w:t>
      </w:r>
      <w:r>
        <w:rPr>
          <w:rFonts w:ascii="Arial" w:eastAsia="Arial" w:hAnsi="Arial" w:cs="Arial"/>
          <w:i/>
          <w:sz w:val="24"/>
        </w:rPr>
        <w:t>Nudge: Improving Decisions About Health, Wealth, and Happiness</w:t>
      </w:r>
      <w:r>
        <w:rPr>
          <w:rFonts w:ascii="Arial" w:eastAsia="Arial" w:hAnsi="Arial" w:cs="Arial"/>
          <w:sz w:val="24"/>
        </w:rPr>
        <w:t xml:space="preserve"> (Thaler &amp; Sunstein), </w:t>
      </w:r>
      <w:r>
        <w:rPr>
          <w:rFonts w:ascii="Arial" w:eastAsia="Arial" w:hAnsi="Arial" w:cs="Arial"/>
          <w:i/>
          <w:sz w:val="24"/>
        </w:rPr>
        <w:t>Thinking Fast and Slow</w:t>
      </w:r>
      <w:r>
        <w:rPr>
          <w:rFonts w:ascii="Arial" w:eastAsia="Arial" w:hAnsi="Arial" w:cs="Arial"/>
          <w:sz w:val="24"/>
        </w:rPr>
        <w:t xml:space="preserve"> (Kahneman), </w:t>
      </w:r>
      <w:r>
        <w:rPr>
          <w:rFonts w:ascii="Arial" w:eastAsia="Arial" w:hAnsi="Arial" w:cs="Arial"/>
          <w:i/>
          <w:sz w:val="24"/>
        </w:rPr>
        <w:t>Scarcity: Why Having Too Little Means So Much</w:t>
      </w:r>
      <w:r>
        <w:rPr>
          <w:rFonts w:ascii="Arial" w:eastAsia="Arial" w:hAnsi="Arial" w:cs="Arial"/>
          <w:sz w:val="24"/>
        </w:rPr>
        <w:t xml:space="preserve"> (Mullainathan &amp; Shafir), and </w:t>
      </w:r>
      <w:r>
        <w:rPr>
          <w:rFonts w:ascii="Arial" w:eastAsia="Arial" w:hAnsi="Arial" w:cs="Arial"/>
          <w:i/>
          <w:sz w:val="24"/>
        </w:rPr>
        <w:t>Predictably Irrational: The Hidden Forces That Shape Our Decisions</w:t>
      </w:r>
      <w:r>
        <w:rPr>
          <w:rFonts w:ascii="Arial" w:eastAsia="Arial" w:hAnsi="Arial" w:cs="Arial"/>
          <w:sz w:val="24"/>
        </w:rPr>
        <w:t xml:space="preserve"> (Ariely). The presentations will be done in groups, with each of ~</w:t>
      </w:r>
      <w:r w:rsidR="00462895">
        <w:rPr>
          <w:rFonts w:ascii="Arial" w:eastAsia="Arial" w:hAnsi="Arial" w:cs="Arial"/>
          <w:sz w:val="24"/>
        </w:rPr>
        <w:t xml:space="preserve">7 </w:t>
      </w:r>
      <w:r>
        <w:rPr>
          <w:rFonts w:ascii="Arial" w:eastAsia="Arial" w:hAnsi="Arial" w:cs="Arial"/>
          <w:sz w:val="24"/>
        </w:rPr>
        <w:t>students contributing one key idea from the book in five</w:t>
      </w:r>
      <w:r w:rsidR="00462895">
        <w:rPr>
          <w:rFonts w:ascii="Arial" w:eastAsia="Arial" w:hAnsi="Arial" w:cs="Arial"/>
          <w:sz w:val="24"/>
        </w:rPr>
        <w:t xml:space="preserve"> to ten</w:t>
      </w:r>
      <w:r>
        <w:rPr>
          <w:rFonts w:ascii="Arial" w:eastAsia="Arial" w:hAnsi="Arial" w:cs="Arial"/>
          <w:sz w:val="24"/>
        </w:rPr>
        <w:t xml:space="preserve"> minutes.  Specifics on the structure of the exams and term paper/project will be given at a later date. </w:t>
      </w:r>
    </w:p>
    <w:p w:rsidR="0018307A" w:rsidRDefault="006F07C9">
      <w:pPr>
        <w:spacing w:after="0" w:line="240" w:lineRule="auto"/>
        <w:rPr>
          <w:rFonts w:ascii="Arial" w:eastAsia="Arial" w:hAnsi="Arial" w:cs="Arial"/>
          <w:b/>
          <w:sz w:val="24"/>
        </w:rPr>
      </w:pPr>
      <w:r>
        <w:rPr>
          <w:rFonts w:ascii="Arial" w:eastAsia="Arial" w:hAnsi="Arial" w:cs="Arial"/>
          <w:b/>
          <w:sz w:val="24"/>
        </w:rPr>
        <w:t xml:space="preserve">Other </w:t>
      </w:r>
    </w:p>
    <w:p w:rsidR="0017028C" w:rsidRPr="00174EB9" w:rsidRDefault="0017028C" w:rsidP="0017028C">
      <w:pPr>
        <w:shd w:val="clear" w:color="auto" w:fill="FFFFFF"/>
        <w:spacing w:before="200" w:after="0"/>
        <w:ind w:left="720" w:right="115"/>
        <w:rPr>
          <w:rFonts w:cstheme="minorHAnsi"/>
        </w:rPr>
      </w:pPr>
      <w:r w:rsidRPr="00174EB9">
        <w:rPr>
          <w:rFonts w:cstheme="minorHAnsi"/>
        </w:rPr>
        <w:t xml:space="preserve">In order to enhance and maintain a productive atmosphere for education, personal communication devices, such as </w:t>
      </w:r>
      <w:r>
        <w:rPr>
          <w:rFonts w:cstheme="minorHAnsi"/>
        </w:rPr>
        <w:t>cell</w:t>
      </w:r>
      <w:r w:rsidRPr="00174EB9">
        <w:rPr>
          <w:rFonts w:cstheme="minorHAnsi"/>
        </w:rPr>
        <w:t xml:space="preserve"> phones, are to be disabled in class sessions.</w:t>
      </w:r>
      <w:r>
        <w:rPr>
          <w:rFonts w:cstheme="minorHAnsi"/>
        </w:rPr>
        <w:t xml:space="preserve">  Laptops and tablets should be used  only for appropriate purposes.</w:t>
      </w:r>
    </w:p>
    <w:p w:rsidR="0017028C" w:rsidRPr="00174EB9" w:rsidRDefault="0017028C" w:rsidP="0017028C">
      <w:pPr>
        <w:shd w:val="clear" w:color="auto" w:fill="FFFFFF"/>
        <w:spacing w:before="200" w:after="0"/>
        <w:ind w:left="720" w:right="115"/>
        <w:rPr>
          <w:rFonts w:cstheme="minorHAnsi"/>
        </w:rPr>
      </w:pPr>
      <w:r w:rsidRPr="005648C5">
        <w:rPr>
          <w:rFonts w:cstheme="minorHAnsi"/>
        </w:rPr>
        <w:t xml:space="preserve">POLICY ON ACCOMMODATIONS:  In compliance with the Americans with Disabilities Act (ADA), students who require reasonable accommodations to properly execute coursework must register with Student Accessibility </w:t>
      </w:r>
      <w:r w:rsidRPr="005648C5">
        <w:rPr>
          <w:rFonts w:cstheme="minorHAnsi"/>
        </w:rPr>
        <w:lastRenderedPageBreak/>
        <w:t>Services (SAS)  -- in Boca Raton, SU 131(561-297-3880); in Davie, LA 131 (954-236-1222); in Jupiter and all Northern Campuses, SR 111F (561-799-8585) – and follow all SAS procedures.</w:t>
      </w:r>
    </w:p>
    <w:p w:rsidR="0017028C" w:rsidRDefault="0017028C" w:rsidP="0017028C">
      <w:pPr>
        <w:shd w:val="clear" w:color="auto" w:fill="FFFFFF"/>
        <w:spacing w:before="200" w:after="0"/>
        <w:ind w:left="720" w:right="115"/>
        <w:rPr>
          <w:rFonts w:cstheme="minorHAnsi"/>
        </w:rPr>
      </w:pPr>
      <w:r w:rsidRPr="00174EB9">
        <w:rPr>
          <w:rFonts w:cstheme="minorHAnsi"/>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r w:rsidRPr="00174EB9">
        <w:rPr>
          <w:rFonts w:eastAsia="Times New Roman" w:cstheme="minorHAnsi"/>
        </w:rPr>
        <w:t xml:space="preserve">In enrolling in this course, students agree to abide by the Honor Code of the College, whose full text may be found at </w:t>
      </w:r>
      <w:hyperlink r:id="rId8" w:history="1">
        <w:r w:rsidRPr="00174EB9">
          <w:rPr>
            <w:rStyle w:val="Hyperlink"/>
            <w:rFonts w:cstheme="minorHAnsi"/>
          </w:rPr>
          <w:t>http://www.fau.edu/divdept/honcol/academics_honor_code.htm</w:t>
        </w:r>
      </w:hyperlink>
      <w:r w:rsidRPr="00174EB9">
        <w:rPr>
          <w:rFonts w:cstheme="minorHAnsi"/>
        </w:rPr>
        <w:t xml:space="preserve">, and by the </w:t>
      </w:r>
      <w:r w:rsidRPr="00174EB9">
        <w:rPr>
          <w:rFonts w:eastAsia="Times New Roman" w:cstheme="minorHAnsi"/>
        </w:rPr>
        <w:t xml:space="preserve">FAU Code of Academic Integrity, whose full text can be found at </w:t>
      </w:r>
      <w:hyperlink r:id="rId9" w:history="1">
        <w:r w:rsidRPr="00174EB9">
          <w:rPr>
            <w:rStyle w:val="Hyperlink"/>
            <w:rFonts w:cstheme="minorHAnsi"/>
          </w:rPr>
          <w:t>http://www.fau.edu/regulations/chapter4/4.001_Code_of_Academic_Integrity.pdf</w:t>
        </w:r>
      </w:hyperlink>
      <w:r w:rsidRPr="00174EB9">
        <w:rPr>
          <w:rFonts w:cstheme="minorHAnsi"/>
        </w:rPr>
        <w:t>.</w:t>
      </w:r>
      <w:bookmarkStart w:id="1" w:name="calendar"/>
      <w:bookmarkEnd w:id="1"/>
    </w:p>
    <w:p w:rsidR="0018307A" w:rsidRDefault="006F07C9" w:rsidP="0017028C">
      <w:pPr>
        <w:shd w:val="clear" w:color="auto" w:fill="FFFFFF"/>
        <w:spacing w:before="200" w:after="0"/>
        <w:ind w:left="720" w:right="115"/>
      </w:pPr>
      <w:r>
        <w:rPr>
          <w:rFonts w:ascii="Arial" w:eastAsia="Arial" w:hAnsi="Arial" w:cs="Arial"/>
          <w:sz w:val="24"/>
        </w:rPr>
        <w:t xml:space="preserve">All dates are subject to change. It is probable that we'll tinker with specific assignments as we go along.  </w:t>
      </w:r>
    </w:p>
    <w:p w:rsidR="0018307A" w:rsidRDefault="006F07C9" w:rsidP="00FA6D98">
      <w:pPr>
        <w:spacing w:before="100" w:after="100"/>
        <w:ind w:left="720" w:right="720"/>
      </w:pPr>
      <w:r>
        <w:rPr>
          <w:rFonts w:ascii="Arial" w:eastAsia="Arial" w:hAnsi="Arial" w:cs="Arial"/>
          <w:sz w:val="24"/>
        </w:rPr>
        <w:t xml:space="preserve">In enrolling in this course, students agree to abide by the Honor Code of the college, whose full text can be found </w:t>
      </w:r>
      <w:hyperlink r:id="rId10">
        <w:r>
          <w:rPr>
            <w:rFonts w:ascii="Arial" w:eastAsia="Arial" w:hAnsi="Arial" w:cs="Arial"/>
            <w:sz w:val="24"/>
          </w:rPr>
          <w:t>at</w:t>
        </w:r>
      </w:hyperlink>
      <w:r>
        <w:rPr>
          <w:rFonts w:ascii="Arial" w:eastAsia="Arial" w:hAnsi="Arial" w:cs="Arial"/>
          <w:sz w:val="24"/>
        </w:rPr>
        <w:t xml:space="preserve"> </w:t>
      </w:r>
      <w:hyperlink r:id="rId11">
        <w:r>
          <w:rPr>
            <w:rFonts w:ascii="Arial" w:eastAsia="Arial" w:hAnsi="Arial" w:cs="Arial"/>
            <w:color w:val="3333CC"/>
            <w:sz w:val="24"/>
            <w:u w:val="single"/>
          </w:rPr>
          <w:t>http://www.fau.edu/divdept/honcol/academics_honor_code.htm</w:t>
        </w:r>
      </w:hyperlink>
      <w:r>
        <w:rPr>
          <w:rFonts w:ascii="Arial" w:eastAsia="Arial" w:hAnsi="Arial" w:cs="Arial"/>
          <w:sz w:val="24"/>
        </w:rPr>
        <w:t>.</w:t>
      </w:r>
      <w:r>
        <w:br w:type="page"/>
      </w:r>
    </w:p>
    <w:tbl>
      <w:tblPr>
        <w:tblW w:w="1045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38"/>
        <w:gridCol w:w="810"/>
        <w:gridCol w:w="4672"/>
        <w:gridCol w:w="2790"/>
        <w:gridCol w:w="1440"/>
      </w:tblGrid>
      <w:tr w:rsidR="0018307A" w:rsidTr="0080798F">
        <w:trPr>
          <w:trHeight w:val="20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lastRenderedPageBreak/>
              <w:t>Mtg</w:t>
            </w:r>
          </w:p>
        </w:tc>
        <w:tc>
          <w:tcPr>
            <w:tcW w:w="810"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Date</w:t>
            </w:r>
          </w:p>
        </w:tc>
        <w:tc>
          <w:tcPr>
            <w:tcW w:w="4672"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Topic</w:t>
            </w:r>
          </w:p>
        </w:tc>
        <w:tc>
          <w:tcPr>
            <w:tcW w:w="2790"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Required reading</w:t>
            </w:r>
          </w:p>
        </w:tc>
        <w:tc>
          <w:tcPr>
            <w:tcW w:w="1440"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Additional references</w:t>
            </w:r>
          </w:p>
        </w:tc>
      </w:tr>
      <w:tr w:rsidR="00F629FF" w:rsidTr="0080798F">
        <w:trPr>
          <w:trHeight w:val="340"/>
        </w:trPr>
        <w:tc>
          <w:tcPr>
            <w:tcW w:w="10450" w:type="dxa"/>
            <w:gridSpan w:val="5"/>
            <w:shd w:val="clear" w:color="auto" w:fill="B6DDE8"/>
            <w:tcMar>
              <w:top w:w="100" w:type="dxa"/>
              <w:left w:w="108" w:type="dxa"/>
              <w:bottom w:w="100" w:type="dxa"/>
              <w:right w:w="108" w:type="dxa"/>
            </w:tcMar>
            <w:vAlign w:val="bottom"/>
          </w:tcPr>
          <w:p w:rsidR="00F629FF" w:rsidRDefault="00F629FF" w:rsidP="00F629FF">
            <w:pPr>
              <w:jc w:val="center"/>
            </w:pPr>
            <w:bookmarkStart w:id="2" w:name="h.gjdgxs" w:colFirst="0" w:colLast="0"/>
            <w:bookmarkEnd w:id="2"/>
            <w:r>
              <w:rPr>
                <w:rFonts w:ascii="Arial" w:eastAsia="Arial" w:hAnsi="Arial" w:cs="Arial"/>
                <w:b/>
                <w:sz w:val="24"/>
              </w:rPr>
              <w:t>Part I: Introduction</w:t>
            </w:r>
          </w:p>
        </w:tc>
      </w:tr>
      <w:tr w:rsidR="0018307A" w:rsidTr="0080798F">
        <w:trPr>
          <w:trHeight w:val="56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8/17</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Decision pretest; Introduction and methods</w:t>
            </w:r>
          </w:p>
        </w:tc>
        <w:tc>
          <w:tcPr>
            <w:tcW w:w="2790" w:type="dxa"/>
            <w:tcMar>
              <w:top w:w="100" w:type="dxa"/>
              <w:left w:w="108" w:type="dxa"/>
              <w:bottom w:w="100" w:type="dxa"/>
              <w:right w:w="108" w:type="dxa"/>
            </w:tcMar>
          </w:tcPr>
          <w:p w:rsidR="0018307A" w:rsidRDefault="0018307A">
            <w:pPr>
              <w:spacing w:before="120" w:after="120" w:line="360" w:lineRule="auto"/>
            </w:pPr>
          </w:p>
        </w:tc>
        <w:tc>
          <w:tcPr>
            <w:tcW w:w="14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w:t>
            </w:r>
            <w:hyperlink r:id="rId12">
              <w:r>
                <w:rPr>
                  <w:rFonts w:ascii="Arial" w:eastAsia="Arial" w:hAnsi="Arial" w:cs="Arial"/>
                  <w:sz w:val="24"/>
                </w:rPr>
                <w:t>Nisbett, 1987</w:t>
              </w:r>
              <w:r w:rsidR="00395673">
                <w:rPr>
                  <w:rFonts w:ascii="Arial" w:eastAsia="Arial" w:hAnsi="Arial" w:cs="Arial"/>
                  <w:sz w:val="24"/>
                </w:rPr>
                <w:t>; Thaler 1</w:t>
              </w:r>
              <w:r>
                <w:rPr>
                  <w:rFonts w:ascii="Arial" w:eastAsia="Arial" w:hAnsi="Arial" w:cs="Arial"/>
                  <w:sz w:val="24"/>
                </w:rPr>
                <w:t>)</w:t>
              </w:r>
            </w:hyperlink>
            <w:r>
              <w:rPr>
                <w:rFonts w:ascii="Arial" w:eastAsia="Arial" w:hAnsi="Arial" w:cs="Arial"/>
                <w:sz w:val="24"/>
              </w:rPr>
              <w:t xml:space="preserve">  </w:t>
            </w:r>
          </w:p>
        </w:tc>
      </w:tr>
      <w:tr w:rsidR="0018307A" w:rsidTr="0080798F">
        <w:trPr>
          <w:trHeight w:val="56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2</w:t>
            </w:r>
          </w:p>
        </w:tc>
        <w:tc>
          <w:tcPr>
            <w:tcW w:w="810" w:type="dxa"/>
            <w:tcMar>
              <w:top w:w="100" w:type="dxa"/>
              <w:left w:w="108" w:type="dxa"/>
              <w:bottom w:w="100" w:type="dxa"/>
              <w:right w:w="108" w:type="dxa"/>
            </w:tcMar>
          </w:tcPr>
          <w:p w:rsidR="0018307A" w:rsidRDefault="006F07C9">
            <w:pPr>
              <w:spacing w:before="120" w:after="120" w:line="360" w:lineRule="auto"/>
              <w:jc w:val="right"/>
            </w:pPr>
            <w:r>
              <w:rPr>
                <w:rFonts w:ascii="Arial" w:eastAsia="Arial" w:hAnsi="Arial" w:cs="Arial"/>
                <w:sz w:val="24"/>
              </w:rPr>
              <w:t>8</w:t>
            </w:r>
            <w:r w:rsidR="000B175D">
              <w:rPr>
                <w:rFonts w:ascii="Arial" w:eastAsia="Arial" w:hAnsi="Arial" w:cs="Arial"/>
                <w:sz w:val="24"/>
              </w:rPr>
              <w:t>/19</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Thinking, deciding, and understanding</w:t>
            </w:r>
          </w:p>
        </w:tc>
        <w:tc>
          <w:tcPr>
            <w:tcW w:w="279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Hastie 1.1 - 1.4</w:t>
            </w:r>
          </w:p>
        </w:tc>
        <w:tc>
          <w:tcPr>
            <w:tcW w:w="14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Baron 1</w:t>
            </w:r>
          </w:p>
        </w:tc>
      </w:tr>
      <w:tr w:rsidR="0018307A" w:rsidTr="0080798F">
        <w:trPr>
          <w:trHeight w:val="56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3</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8/24</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Descriptive, normative, and prescriptive approaches</w:t>
            </w:r>
          </w:p>
        </w:tc>
        <w:tc>
          <w:tcPr>
            <w:tcW w:w="279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Angner 1</w:t>
            </w:r>
          </w:p>
        </w:tc>
        <w:tc>
          <w:tcPr>
            <w:tcW w:w="14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Baron 2</w:t>
            </w:r>
          </w:p>
        </w:tc>
      </w:tr>
      <w:tr w:rsidR="0018307A" w:rsidTr="0080798F">
        <w:trPr>
          <w:trHeight w:val="56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4</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8/26</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Decisions and expected utility</w:t>
            </w:r>
          </w:p>
        </w:tc>
        <w:tc>
          <w:tcPr>
            <w:tcW w:w="2790" w:type="dxa"/>
            <w:tcMar>
              <w:top w:w="100" w:type="dxa"/>
              <w:left w:w="108" w:type="dxa"/>
              <w:bottom w:w="100" w:type="dxa"/>
              <w:right w:w="108" w:type="dxa"/>
            </w:tcMar>
          </w:tcPr>
          <w:p w:rsidR="0018307A" w:rsidRDefault="00462895">
            <w:pPr>
              <w:spacing w:before="120" w:after="120" w:line="360" w:lineRule="auto"/>
            </w:pPr>
            <w:r>
              <w:rPr>
                <w:rFonts w:ascii="Arial" w:eastAsia="Arial" w:hAnsi="Arial" w:cs="Arial"/>
                <w:sz w:val="24"/>
              </w:rPr>
              <w:t>Hastie 2.1 - 2.4</w:t>
            </w:r>
            <w:r>
              <w:rPr>
                <w:rFonts w:ascii="Arial" w:eastAsia="Arial" w:hAnsi="Arial" w:cs="Arial"/>
                <w:sz w:val="24"/>
              </w:rPr>
              <w:br/>
              <w:t>Angner 6</w:t>
            </w:r>
          </w:p>
        </w:tc>
        <w:tc>
          <w:tcPr>
            <w:tcW w:w="1440" w:type="dxa"/>
            <w:tcMar>
              <w:top w:w="100" w:type="dxa"/>
              <w:left w:w="108" w:type="dxa"/>
              <w:bottom w:w="100" w:type="dxa"/>
              <w:right w:w="108" w:type="dxa"/>
            </w:tcMar>
          </w:tcPr>
          <w:p w:rsidR="0018307A" w:rsidRDefault="0018307A">
            <w:pPr>
              <w:spacing w:before="120" w:after="120" w:line="360" w:lineRule="auto"/>
            </w:pPr>
          </w:p>
        </w:tc>
      </w:tr>
      <w:tr w:rsidR="0018307A" w:rsidTr="0080798F">
        <w:trPr>
          <w:trHeight w:val="20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5</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8/31</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Expected utility and rationality</w:t>
            </w:r>
          </w:p>
        </w:tc>
        <w:tc>
          <w:tcPr>
            <w:tcW w:w="2790" w:type="dxa"/>
            <w:tcMar>
              <w:top w:w="100" w:type="dxa"/>
              <w:left w:w="108" w:type="dxa"/>
              <w:bottom w:w="100" w:type="dxa"/>
              <w:right w:w="108" w:type="dxa"/>
            </w:tcMar>
          </w:tcPr>
          <w:p w:rsidR="00BC08F8" w:rsidRPr="00BC08F8" w:rsidRDefault="006F07C9">
            <w:pPr>
              <w:spacing w:before="120" w:after="120" w:line="360" w:lineRule="auto"/>
              <w:rPr>
                <w:rFonts w:ascii="Arial" w:eastAsia="Arial" w:hAnsi="Arial" w:cs="Arial"/>
                <w:sz w:val="24"/>
              </w:rPr>
            </w:pPr>
            <w:r>
              <w:rPr>
                <w:rFonts w:ascii="Arial" w:eastAsia="Arial" w:hAnsi="Arial" w:cs="Arial"/>
                <w:sz w:val="24"/>
              </w:rPr>
              <w:t>Hastie 1.5-1.6</w:t>
            </w:r>
            <w:r w:rsidR="00BC08F8">
              <w:rPr>
                <w:rFonts w:ascii="Arial" w:eastAsia="Arial" w:hAnsi="Arial" w:cs="Arial"/>
                <w:sz w:val="24"/>
              </w:rPr>
              <w:br/>
              <w:t>Angner 3.1-3.2</w:t>
            </w:r>
          </w:p>
        </w:tc>
        <w:tc>
          <w:tcPr>
            <w:tcW w:w="14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 xml:space="preserve">Baron 3 </w:t>
            </w:r>
          </w:p>
        </w:tc>
      </w:tr>
      <w:tr w:rsidR="0018307A" w:rsidTr="0080798F">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6</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9/2</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Sunk costs</w:t>
            </w:r>
          </w:p>
        </w:tc>
        <w:tc>
          <w:tcPr>
            <w:tcW w:w="2790" w:type="dxa"/>
            <w:tcMar>
              <w:top w:w="100" w:type="dxa"/>
              <w:left w:w="108" w:type="dxa"/>
              <w:bottom w:w="100" w:type="dxa"/>
              <w:right w:w="108" w:type="dxa"/>
            </w:tcMar>
          </w:tcPr>
          <w:p w:rsidR="0018307A" w:rsidRDefault="006F07C9" w:rsidP="0080798F">
            <w:pPr>
              <w:spacing w:before="120" w:after="120" w:line="360" w:lineRule="auto"/>
            </w:pPr>
            <w:r>
              <w:rPr>
                <w:rFonts w:ascii="Arial" w:eastAsia="Arial" w:hAnsi="Arial" w:cs="Arial"/>
                <w:sz w:val="24"/>
              </w:rPr>
              <w:t>Hastie 2.5-2.6</w:t>
            </w:r>
            <w:r>
              <w:rPr>
                <w:rFonts w:ascii="Arial" w:eastAsia="Arial" w:hAnsi="Arial" w:cs="Arial"/>
                <w:sz w:val="24"/>
              </w:rPr>
              <w:br/>
              <w:t>Angner 3.3</w:t>
            </w:r>
            <w:r>
              <w:rPr>
                <w:rFonts w:ascii="Arial" w:eastAsia="Arial" w:hAnsi="Arial" w:cs="Arial"/>
                <w:sz w:val="24"/>
              </w:rPr>
              <w:br/>
            </w:r>
          </w:p>
        </w:tc>
        <w:tc>
          <w:tcPr>
            <w:tcW w:w="1440" w:type="dxa"/>
            <w:tcMar>
              <w:top w:w="100" w:type="dxa"/>
              <w:left w:w="108" w:type="dxa"/>
              <w:bottom w:w="100" w:type="dxa"/>
              <w:right w:w="108" w:type="dxa"/>
            </w:tcMar>
          </w:tcPr>
          <w:p w:rsidR="0018307A" w:rsidRDefault="006F07C9">
            <w:pPr>
              <w:spacing w:before="120" w:after="120" w:line="360" w:lineRule="auto"/>
              <w:rPr>
                <w:rFonts w:ascii="Arial" w:eastAsia="Arial" w:hAnsi="Arial" w:cs="Arial"/>
                <w:sz w:val="24"/>
              </w:rPr>
            </w:pPr>
            <w:r>
              <w:rPr>
                <w:rFonts w:ascii="Arial" w:eastAsia="Arial" w:hAnsi="Arial" w:cs="Arial"/>
                <w:sz w:val="24"/>
              </w:rPr>
              <w:t>Baron 12</w:t>
            </w:r>
            <w:r>
              <w:rPr>
                <w:rFonts w:ascii="Arial" w:eastAsia="Arial" w:hAnsi="Arial" w:cs="Arial"/>
                <w:sz w:val="24"/>
              </w:rPr>
              <w:br/>
              <w:t>(Arkes, 1999)</w:t>
            </w:r>
            <w:r>
              <w:rPr>
                <w:rFonts w:ascii="Arial" w:eastAsia="Arial" w:hAnsi="Arial" w:cs="Arial"/>
                <w:sz w:val="24"/>
              </w:rPr>
              <w:br/>
              <w:t>(Boettcher 2009)</w:t>
            </w:r>
          </w:p>
          <w:p w:rsidR="00395673" w:rsidRDefault="00395673">
            <w:pPr>
              <w:spacing w:before="120" w:after="120" w:line="360" w:lineRule="auto"/>
            </w:pPr>
          </w:p>
        </w:tc>
      </w:tr>
    </w:tbl>
    <w:p w:rsidR="0080798F" w:rsidRDefault="0080798F"/>
    <w:tbl>
      <w:tblPr>
        <w:tblW w:w="1045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38"/>
        <w:gridCol w:w="810"/>
        <w:gridCol w:w="4672"/>
        <w:gridCol w:w="2790"/>
        <w:gridCol w:w="1440"/>
      </w:tblGrid>
      <w:tr w:rsidR="00F629FF" w:rsidTr="0080798F">
        <w:trPr>
          <w:trHeight w:val="200"/>
        </w:trPr>
        <w:tc>
          <w:tcPr>
            <w:tcW w:w="10450" w:type="dxa"/>
            <w:gridSpan w:val="5"/>
            <w:shd w:val="clear" w:color="auto" w:fill="B6DDE8"/>
            <w:tcMar>
              <w:top w:w="100" w:type="dxa"/>
              <w:left w:w="108" w:type="dxa"/>
              <w:bottom w:w="100" w:type="dxa"/>
              <w:right w:w="108" w:type="dxa"/>
            </w:tcMar>
            <w:vAlign w:val="bottom"/>
          </w:tcPr>
          <w:p w:rsidR="00F629FF" w:rsidRDefault="00F629FF" w:rsidP="00F629FF">
            <w:pPr>
              <w:jc w:val="center"/>
            </w:pPr>
            <w:r>
              <w:rPr>
                <w:rFonts w:ascii="Arial" w:eastAsia="Arial" w:hAnsi="Arial" w:cs="Arial"/>
                <w:b/>
                <w:sz w:val="24"/>
              </w:rPr>
              <w:t>Part II: Two types of reasoning</w:t>
            </w:r>
          </w:p>
        </w:tc>
      </w:tr>
      <w:tr w:rsidR="0018307A" w:rsidTr="0080798F">
        <w:trPr>
          <w:trHeight w:val="36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7</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9/9</w:t>
            </w:r>
            <w:r w:rsidR="006F07C9">
              <w:rPr>
                <w:rFonts w:ascii="Arial" w:eastAsia="Arial" w:hAnsi="Arial" w:cs="Arial"/>
                <w:sz w:val="24"/>
              </w:rPr>
              <w:t xml:space="preserve"> </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Deductive logic</w:t>
            </w:r>
          </w:p>
        </w:tc>
        <w:tc>
          <w:tcPr>
            <w:tcW w:w="279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Angner 2.1-2.4</w:t>
            </w:r>
          </w:p>
        </w:tc>
        <w:tc>
          <w:tcPr>
            <w:tcW w:w="14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Baron 4</w:t>
            </w:r>
          </w:p>
        </w:tc>
      </w:tr>
      <w:tr w:rsidR="0018307A" w:rsidTr="0080798F">
        <w:trPr>
          <w:trHeight w:val="34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lastRenderedPageBreak/>
              <w:t>8</w:t>
            </w:r>
          </w:p>
        </w:tc>
        <w:tc>
          <w:tcPr>
            <w:tcW w:w="810" w:type="dxa"/>
            <w:tcMar>
              <w:top w:w="100" w:type="dxa"/>
              <w:left w:w="108" w:type="dxa"/>
              <w:bottom w:w="100" w:type="dxa"/>
              <w:right w:w="108" w:type="dxa"/>
            </w:tcMar>
          </w:tcPr>
          <w:p w:rsidR="0018307A" w:rsidRDefault="006F07C9" w:rsidP="000B175D">
            <w:pPr>
              <w:spacing w:before="120" w:after="120" w:line="360" w:lineRule="auto"/>
              <w:jc w:val="right"/>
            </w:pPr>
            <w:r>
              <w:rPr>
                <w:rFonts w:ascii="Arial" w:eastAsia="Arial" w:hAnsi="Arial" w:cs="Arial"/>
                <w:sz w:val="24"/>
              </w:rPr>
              <w:t xml:space="preserve"> </w:t>
            </w:r>
            <w:r w:rsidR="000B175D">
              <w:rPr>
                <w:rFonts w:ascii="Arial" w:eastAsia="Arial" w:hAnsi="Arial" w:cs="Arial"/>
                <w:sz w:val="24"/>
              </w:rPr>
              <w:t>9/14</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Deduction vs. induction</w:t>
            </w:r>
          </w:p>
        </w:tc>
        <w:tc>
          <w:tcPr>
            <w:tcW w:w="279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 xml:space="preserve">(Rips, 2001) </w:t>
            </w:r>
            <w:r>
              <w:rPr>
                <w:rFonts w:ascii="Arial" w:eastAsia="Arial" w:hAnsi="Arial" w:cs="Arial"/>
                <w:sz w:val="24"/>
              </w:rPr>
              <w:br/>
              <w:t>(Osherson, 1998)</w:t>
            </w:r>
          </w:p>
        </w:tc>
        <w:tc>
          <w:tcPr>
            <w:tcW w:w="1440" w:type="dxa"/>
            <w:tcMar>
              <w:top w:w="100" w:type="dxa"/>
              <w:left w:w="108" w:type="dxa"/>
              <w:bottom w:w="100" w:type="dxa"/>
              <w:right w:w="108" w:type="dxa"/>
            </w:tcMar>
          </w:tcPr>
          <w:p w:rsidR="0018307A" w:rsidRDefault="0018307A">
            <w:pPr>
              <w:spacing w:before="120" w:after="120" w:line="360" w:lineRule="auto"/>
            </w:pPr>
          </w:p>
        </w:tc>
      </w:tr>
      <w:tr w:rsidR="0018307A" w:rsidTr="0080798F">
        <w:trPr>
          <w:trHeight w:val="38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9</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9/16</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Probability</w:t>
            </w:r>
          </w:p>
        </w:tc>
        <w:tc>
          <w:tcPr>
            <w:tcW w:w="279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Hastie Appendix</w:t>
            </w:r>
          </w:p>
          <w:p w:rsidR="0018307A" w:rsidRDefault="006F07C9">
            <w:pPr>
              <w:spacing w:before="120" w:after="120" w:line="360" w:lineRule="auto"/>
            </w:pPr>
            <w:r>
              <w:rPr>
                <w:rFonts w:ascii="Arial" w:eastAsia="Arial" w:hAnsi="Arial" w:cs="Arial"/>
                <w:sz w:val="24"/>
              </w:rPr>
              <w:t>Angner 4.1-4.4</w:t>
            </w:r>
          </w:p>
        </w:tc>
        <w:tc>
          <w:tcPr>
            <w:tcW w:w="14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Baron 5</w:t>
            </w:r>
          </w:p>
        </w:tc>
      </w:tr>
      <w:tr w:rsidR="0018307A" w:rsidTr="0080798F">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10</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9/21</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Probability continued / Bayes Theorem</w:t>
            </w:r>
          </w:p>
        </w:tc>
        <w:tc>
          <w:tcPr>
            <w:tcW w:w="2790" w:type="dxa"/>
            <w:tcMar>
              <w:top w:w="100" w:type="dxa"/>
              <w:left w:w="108" w:type="dxa"/>
              <w:bottom w:w="100" w:type="dxa"/>
              <w:right w:w="108" w:type="dxa"/>
            </w:tcMar>
          </w:tcPr>
          <w:p w:rsidR="0018307A" w:rsidRDefault="00BC08F8" w:rsidP="00BC08F8">
            <w:pPr>
              <w:spacing w:before="120" w:after="120" w:line="360" w:lineRule="auto"/>
            </w:pPr>
            <w:r>
              <w:rPr>
                <w:rFonts w:ascii="Arial" w:eastAsia="Arial" w:hAnsi="Arial" w:cs="Arial"/>
                <w:sz w:val="24"/>
              </w:rPr>
              <w:t>Hastie 8</w:t>
            </w:r>
            <w:r>
              <w:rPr>
                <w:rFonts w:ascii="Arial" w:eastAsia="Arial" w:hAnsi="Arial" w:cs="Arial"/>
                <w:sz w:val="24"/>
              </w:rPr>
              <w:br/>
            </w:r>
            <w:r w:rsidR="006F07C9">
              <w:rPr>
                <w:rFonts w:ascii="Arial" w:eastAsia="Arial" w:hAnsi="Arial" w:cs="Arial"/>
                <w:sz w:val="24"/>
              </w:rPr>
              <w:t>Angner 4.5-4.7</w:t>
            </w:r>
          </w:p>
        </w:tc>
        <w:tc>
          <w:tcPr>
            <w:tcW w:w="1440" w:type="dxa"/>
            <w:tcMar>
              <w:top w:w="100" w:type="dxa"/>
              <w:left w:w="108" w:type="dxa"/>
              <w:bottom w:w="100" w:type="dxa"/>
              <w:right w:w="108" w:type="dxa"/>
            </w:tcMar>
          </w:tcPr>
          <w:p w:rsidR="0018307A" w:rsidRDefault="0018307A">
            <w:pPr>
              <w:spacing w:before="120" w:after="120" w:line="360" w:lineRule="auto"/>
            </w:pPr>
          </w:p>
        </w:tc>
      </w:tr>
    </w:tbl>
    <w:p w:rsidR="0080798F" w:rsidRDefault="0080798F"/>
    <w:tbl>
      <w:tblPr>
        <w:tblW w:w="1045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38"/>
        <w:gridCol w:w="810"/>
        <w:gridCol w:w="4672"/>
        <w:gridCol w:w="2790"/>
        <w:gridCol w:w="1440"/>
      </w:tblGrid>
      <w:tr w:rsidR="00F629FF" w:rsidTr="0080798F">
        <w:trPr>
          <w:trHeight w:val="200"/>
        </w:trPr>
        <w:tc>
          <w:tcPr>
            <w:tcW w:w="10450" w:type="dxa"/>
            <w:gridSpan w:val="5"/>
            <w:shd w:val="clear" w:color="auto" w:fill="B6DDE8"/>
            <w:tcMar>
              <w:top w:w="100" w:type="dxa"/>
              <w:left w:w="108" w:type="dxa"/>
              <w:bottom w:w="100" w:type="dxa"/>
              <w:right w:w="108" w:type="dxa"/>
            </w:tcMar>
            <w:vAlign w:val="bottom"/>
          </w:tcPr>
          <w:p w:rsidR="00F629FF" w:rsidRDefault="006F07C9" w:rsidP="00F629FF">
            <w:pPr>
              <w:jc w:val="center"/>
            </w:pPr>
            <w:r>
              <w:br w:type="page"/>
            </w:r>
            <w:r w:rsidR="00F629FF">
              <w:rPr>
                <w:rFonts w:ascii="Arial" w:eastAsia="Arial" w:hAnsi="Arial" w:cs="Arial"/>
                <w:b/>
                <w:sz w:val="24"/>
              </w:rPr>
              <w:t>Part III: Heuristics and biases</w:t>
            </w:r>
          </w:p>
        </w:tc>
      </w:tr>
      <w:tr w:rsidR="0018307A" w:rsidTr="0080798F">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11</w:t>
            </w:r>
          </w:p>
        </w:tc>
        <w:tc>
          <w:tcPr>
            <w:tcW w:w="810" w:type="dxa"/>
            <w:tcMar>
              <w:top w:w="100" w:type="dxa"/>
              <w:left w:w="108" w:type="dxa"/>
              <w:bottom w:w="100" w:type="dxa"/>
              <w:right w:w="108" w:type="dxa"/>
            </w:tcMar>
          </w:tcPr>
          <w:p w:rsidR="0018307A" w:rsidRDefault="000B175D" w:rsidP="000B175D">
            <w:pPr>
              <w:spacing w:before="120" w:after="120" w:line="360" w:lineRule="auto"/>
              <w:jc w:val="right"/>
            </w:pPr>
            <w:r>
              <w:rPr>
                <w:rFonts w:ascii="Arial" w:eastAsia="Arial" w:hAnsi="Arial" w:cs="Arial"/>
                <w:sz w:val="24"/>
              </w:rPr>
              <w:t>9/23</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Anchoring and adjustment</w:t>
            </w:r>
          </w:p>
        </w:tc>
        <w:tc>
          <w:tcPr>
            <w:tcW w:w="279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Hastie 4</w:t>
            </w:r>
          </w:p>
        </w:tc>
        <w:tc>
          <w:tcPr>
            <w:tcW w:w="1440" w:type="dxa"/>
            <w:tcMar>
              <w:top w:w="100" w:type="dxa"/>
              <w:left w:w="108" w:type="dxa"/>
              <w:bottom w:w="100" w:type="dxa"/>
              <w:right w:w="108" w:type="dxa"/>
            </w:tcMar>
          </w:tcPr>
          <w:p w:rsidR="0018307A" w:rsidRDefault="0018307A">
            <w:pPr>
              <w:spacing w:before="120" w:after="120" w:line="360" w:lineRule="auto"/>
            </w:pPr>
          </w:p>
        </w:tc>
      </w:tr>
      <w:tr w:rsidR="0018307A" w:rsidTr="0080798F">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12</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9/28</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Availability and representativeness</w:t>
            </w:r>
          </w:p>
        </w:tc>
        <w:tc>
          <w:tcPr>
            <w:tcW w:w="2790" w:type="dxa"/>
            <w:tcMar>
              <w:top w:w="100" w:type="dxa"/>
              <w:left w:w="108" w:type="dxa"/>
              <w:bottom w:w="100" w:type="dxa"/>
              <w:right w:w="108" w:type="dxa"/>
            </w:tcMar>
          </w:tcPr>
          <w:p w:rsidR="0018307A" w:rsidRDefault="006F07C9" w:rsidP="00716318">
            <w:pPr>
              <w:spacing w:before="120" w:after="120" w:line="360" w:lineRule="auto"/>
            </w:pPr>
            <w:r>
              <w:rPr>
                <w:rFonts w:ascii="Arial" w:eastAsia="Arial" w:hAnsi="Arial" w:cs="Arial"/>
                <w:sz w:val="24"/>
              </w:rPr>
              <w:t>Hastie 5</w:t>
            </w:r>
            <w:r w:rsidR="00716318">
              <w:rPr>
                <w:rFonts w:ascii="Arial" w:eastAsia="Arial" w:hAnsi="Arial" w:cs="Arial"/>
                <w:sz w:val="24"/>
              </w:rPr>
              <w:br/>
              <w:t>Angner 5</w:t>
            </w:r>
            <w:r>
              <w:rPr>
                <w:rFonts w:ascii="Arial" w:eastAsia="Arial" w:hAnsi="Arial" w:cs="Arial"/>
                <w:sz w:val="24"/>
              </w:rPr>
              <w:br/>
              <w:t>(Tversky, 1974)</w:t>
            </w:r>
          </w:p>
        </w:tc>
        <w:tc>
          <w:tcPr>
            <w:tcW w:w="14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Baron 6</w:t>
            </w:r>
          </w:p>
        </w:tc>
      </w:tr>
      <w:tr w:rsidR="0018307A" w:rsidTr="0080798F">
        <w:trPr>
          <w:trHeight w:val="38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13</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9/30</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Scenario based reasoning, conjunction effect, probability matching and hindsight</w:t>
            </w:r>
          </w:p>
        </w:tc>
        <w:tc>
          <w:tcPr>
            <w:tcW w:w="279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Hastie 6</w:t>
            </w:r>
            <w:r w:rsidR="00716318">
              <w:rPr>
                <w:rFonts w:ascii="Arial" w:eastAsia="Arial" w:hAnsi="Arial" w:cs="Arial"/>
                <w:sz w:val="24"/>
              </w:rPr>
              <w:br/>
              <w:t>Angner 5 (contin</w:t>
            </w:r>
            <w:r w:rsidR="007E655A">
              <w:rPr>
                <w:rFonts w:ascii="Arial" w:eastAsia="Arial" w:hAnsi="Arial" w:cs="Arial"/>
                <w:sz w:val="24"/>
              </w:rPr>
              <w:t>u</w:t>
            </w:r>
            <w:r w:rsidR="00716318">
              <w:rPr>
                <w:rFonts w:ascii="Arial" w:eastAsia="Arial" w:hAnsi="Arial" w:cs="Arial"/>
                <w:sz w:val="24"/>
              </w:rPr>
              <w:t>ed)</w:t>
            </w:r>
            <w:r>
              <w:rPr>
                <w:rFonts w:ascii="Arial" w:eastAsia="Arial" w:hAnsi="Arial" w:cs="Arial"/>
                <w:sz w:val="24"/>
              </w:rPr>
              <w:br/>
            </w:r>
          </w:p>
        </w:tc>
        <w:tc>
          <w:tcPr>
            <w:tcW w:w="1440" w:type="dxa"/>
            <w:tcMar>
              <w:top w:w="100" w:type="dxa"/>
              <w:left w:w="108" w:type="dxa"/>
              <w:bottom w:w="100" w:type="dxa"/>
              <w:right w:w="108" w:type="dxa"/>
            </w:tcMar>
          </w:tcPr>
          <w:p w:rsidR="0018307A" w:rsidRDefault="0018307A">
            <w:pPr>
              <w:spacing w:before="120" w:after="120" w:line="360" w:lineRule="auto"/>
            </w:pPr>
          </w:p>
        </w:tc>
      </w:tr>
      <w:tr w:rsidR="0018307A" w:rsidTr="0080798F">
        <w:trPr>
          <w:trHeight w:val="38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14</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10/5</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 xml:space="preserve">Randomness,  causation, regression to the mean, &amp; illusory correlation </w:t>
            </w:r>
          </w:p>
        </w:tc>
        <w:tc>
          <w:tcPr>
            <w:tcW w:w="279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Hastie 7</w:t>
            </w:r>
            <w:r>
              <w:rPr>
                <w:rFonts w:ascii="Arial" w:eastAsia="Arial" w:hAnsi="Arial" w:cs="Arial"/>
                <w:sz w:val="24"/>
              </w:rPr>
              <w:br/>
              <w:t>(Gilovich, 1985)</w:t>
            </w:r>
            <w:r>
              <w:rPr>
                <w:rFonts w:ascii="Arial" w:eastAsia="Arial" w:hAnsi="Arial" w:cs="Arial"/>
                <w:sz w:val="24"/>
              </w:rPr>
              <w:br/>
              <w:t>(Redelmeier, 1996)</w:t>
            </w:r>
          </w:p>
        </w:tc>
        <w:tc>
          <w:tcPr>
            <w:tcW w:w="14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Baron 8</w:t>
            </w:r>
          </w:p>
        </w:tc>
      </w:tr>
      <w:tr w:rsidR="0018307A" w:rsidTr="0080798F">
        <w:trPr>
          <w:trHeight w:val="38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15</w:t>
            </w:r>
          </w:p>
        </w:tc>
        <w:tc>
          <w:tcPr>
            <w:tcW w:w="810"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10/7</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Exam</w:t>
            </w:r>
          </w:p>
        </w:tc>
        <w:tc>
          <w:tcPr>
            <w:tcW w:w="2790" w:type="dxa"/>
            <w:tcMar>
              <w:top w:w="100" w:type="dxa"/>
              <w:left w:w="108" w:type="dxa"/>
              <w:bottom w:w="100" w:type="dxa"/>
              <w:right w:w="108" w:type="dxa"/>
            </w:tcMar>
          </w:tcPr>
          <w:p w:rsidR="0018307A" w:rsidRDefault="0018307A">
            <w:pPr>
              <w:spacing w:before="120" w:after="120" w:line="360" w:lineRule="auto"/>
            </w:pPr>
          </w:p>
        </w:tc>
        <w:tc>
          <w:tcPr>
            <w:tcW w:w="14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 xml:space="preserve">  </w:t>
            </w:r>
          </w:p>
        </w:tc>
      </w:tr>
    </w:tbl>
    <w:p w:rsidR="0080798F" w:rsidRDefault="0080798F"/>
    <w:p w:rsidR="0080798F" w:rsidRDefault="0080798F">
      <w:r>
        <w:br w:type="page"/>
      </w:r>
    </w:p>
    <w:p w:rsidR="0080798F" w:rsidRDefault="0080798F"/>
    <w:tbl>
      <w:tblPr>
        <w:tblW w:w="10532"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38"/>
        <w:gridCol w:w="892"/>
        <w:gridCol w:w="4672"/>
        <w:gridCol w:w="2340"/>
        <w:gridCol w:w="1890"/>
      </w:tblGrid>
      <w:tr w:rsidR="00F629FF" w:rsidTr="000B175D">
        <w:trPr>
          <w:trHeight w:val="709"/>
        </w:trPr>
        <w:tc>
          <w:tcPr>
            <w:tcW w:w="10532" w:type="dxa"/>
            <w:gridSpan w:val="5"/>
            <w:shd w:val="clear" w:color="auto" w:fill="B6DDE8"/>
            <w:tcMar>
              <w:top w:w="100" w:type="dxa"/>
              <w:left w:w="108" w:type="dxa"/>
              <w:bottom w:w="100" w:type="dxa"/>
              <w:right w:w="108" w:type="dxa"/>
            </w:tcMar>
            <w:vAlign w:val="bottom"/>
          </w:tcPr>
          <w:p w:rsidR="00F629FF" w:rsidRDefault="00F629FF" w:rsidP="00F629FF">
            <w:pPr>
              <w:jc w:val="center"/>
            </w:pPr>
            <w:r>
              <w:rPr>
                <w:rFonts w:ascii="Arial" w:eastAsia="Arial" w:hAnsi="Arial" w:cs="Arial"/>
                <w:b/>
                <w:sz w:val="24"/>
              </w:rPr>
              <w:t>Part IV: Behavioral economics</w:t>
            </w:r>
          </w:p>
        </w:tc>
      </w:tr>
      <w:tr w:rsidR="0018307A" w:rsidTr="000B175D">
        <w:trPr>
          <w:trHeight w:val="38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16</w:t>
            </w:r>
          </w:p>
        </w:tc>
        <w:tc>
          <w:tcPr>
            <w:tcW w:w="892"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10/12</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Analytical Game Theory</w:t>
            </w:r>
          </w:p>
        </w:tc>
        <w:tc>
          <w:tcPr>
            <w:tcW w:w="23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Angner 10</w:t>
            </w:r>
          </w:p>
        </w:tc>
        <w:tc>
          <w:tcPr>
            <w:tcW w:w="1890" w:type="dxa"/>
            <w:tcMar>
              <w:top w:w="100" w:type="dxa"/>
              <w:left w:w="108" w:type="dxa"/>
              <w:bottom w:w="100" w:type="dxa"/>
              <w:right w:w="108" w:type="dxa"/>
            </w:tcMar>
          </w:tcPr>
          <w:p w:rsidR="0018307A" w:rsidRDefault="0018307A">
            <w:pPr>
              <w:spacing w:before="120" w:after="120" w:line="360" w:lineRule="auto"/>
            </w:pPr>
          </w:p>
        </w:tc>
      </w:tr>
      <w:tr w:rsidR="0018307A" w:rsidTr="000B175D">
        <w:trPr>
          <w:trHeight w:val="54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17</w:t>
            </w:r>
          </w:p>
        </w:tc>
        <w:tc>
          <w:tcPr>
            <w:tcW w:w="892"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10/14</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Analytical Game Theory (continued)</w:t>
            </w:r>
          </w:p>
        </w:tc>
        <w:tc>
          <w:tcPr>
            <w:tcW w:w="23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Ang</w:t>
            </w:r>
            <w:r w:rsidR="00462895">
              <w:rPr>
                <w:rFonts w:ascii="Arial" w:eastAsia="Arial" w:hAnsi="Arial" w:cs="Arial"/>
                <w:sz w:val="24"/>
              </w:rPr>
              <w:t>n</w:t>
            </w:r>
            <w:r>
              <w:rPr>
                <w:rFonts w:ascii="Arial" w:eastAsia="Arial" w:hAnsi="Arial" w:cs="Arial"/>
                <w:sz w:val="24"/>
              </w:rPr>
              <w:t>er 10</w:t>
            </w:r>
          </w:p>
        </w:tc>
        <w:tc>
          <w:tcPr>
            <w:tcW w:w="1890" w:type="dxa"/>
            <w:tcMar>
              <w:top w:w="100" w:type="dxa"/>
              <w:left w:w="108" w:type="dxa"/>
              <w:bottom w:w="100" w:type="dxa"/>
              <w:right w:w="108" w:type="dxa"/>
            </w:tcMar>
          </w:tcPr>
          <w:p w:rsidR="0018307A" w:rsidRDefault="0018307A">
            <w:pPr>
              <w:spacing w:before="120" w:after="120" w:line="360" w:lineRule="auto"/>
            </w:pPr>
          </w:p>
        </w:tc>
      </w:tr>
      <w:tr w:rsidR="0018307A" w:rsidTr="000B175D">
        <w:trPr>
          <w:trHeight w:val="34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18</w:t>
            </w:r>
          </w:p>
        </w:tc>
        <w:tc>
          <w:tcPr>
            <w:tcW w:w="892"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10/19</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Behavioral Game Theory</w:t>
            </w:r>
          </w:p>
        </w:tc>
        <w:tc>
          <w:tcPr>
            <w:tcW w:w="23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Angner 11</w:t>
            </w:r>
          </w:p>
        </w:tc>
        <w:tc>
          <w:tcPr>
            <w:tcW w:w="1890" w:type="dxa"/>
            <w:tcMar>
              <w:top w:w="100" w:type="dxa"/>
              <w:left w:w="108" w:type="dxa"/>
              <w:bottom w:w="100" w:type="dxa"/>
              <w:right w:w="108" w:type="dxa"/>
            </w:tcMar>
          </w:tcPr>
          <w:p w:rsidR="0018307A" w:rsidRDefault="0018307A">
            <w:pPr>
              <w:spacing w:before="120" w:after="120" w:line="360" w:lineRule="auto"/>
            </w:pPr>
          </w:p>
        </w:tc>
      </w:tr>
      <w:tr w:rsidR="0018307A" w:rsidTr="000B175D">
        <w:trPr>
          <w:trHeight w:val="38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19</w:t>
            </w:r>
          </w:p>
        </w:tc>
        <w:tc>
          <w:tcPr>
            <w:tcW w:w="892"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10/21</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Behavioral Game Theory (continued)</w:t>
            </w:r>
          </w:p>
        </w:tc>
        <w:tc>
          <w:tcPr>
            <w:tcW w:w="2340"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Angner 11</w:t>
            </w:r>
          </w:p>
        </w:tc>
        <w:tc>
          <w:tcPr>
            <w:tcW w:w="1890" w:type="dxa"/>
            <w:tcMar>
              <w:top w:w="100" w:type="dxa"/>
              <w:left w:w="108" w:type="dxa"/>
              <w:bottom w:w="100" w:type="dxa"/>
              <w:right w:w="108" w:type="dxa"/>
            </w:tcMar>
          </w:tcPr>
          <w:p w:rsidR="0018307A" w:rsidRDefault="0018307A">
            <w:pPr>
              <w:spacing w:before="120" w:after="120" w:line="360" w:lineRule="auto"/>
            </w:pPr>
          </w:p>
        </w:tc>
      </w:tr>
    </w:tbl>
    <w:p w:rsidR="0080798F" w:rsidRDefault="0080798F"/>
    <w:tbl>
      <w:tblPr>
        <w:tblW w:w="1054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38"/>
        <w:gridCol w:w="892"/>
        <w:gridCol w:w="4672"/>
        <w:gridCol w:w="2348"/>
        <w:gridCol w:w="1882"/>
        <w:gridCol w:w="8"/>
      </w:tblGrid>
      <w:tr w:rsidR="0080798F" w:rsidTr="000B175D">
        <w:trPr>
          <w:gridAfter w:val="1"/>
          <w:wAfter w:w="8" w:type="dxa"/>
          <w:trHeight w:val="200"/>
        </w:trPr>
        <w:tc>
          <w:tcPr>
            <w:tcW w:w="10532" w:type="dxa"/>
            <w:gridSpan w:val="5"/>
            <w:shd w:val="clear" w:color="auto" w:fill="B6DDE8"/>
            <w:tcMar>
              <w:top w:w="100" w:type="dxa"/>
              <w:left w:w="108" w:type="dxa"/>
              <w:bottom w:w="100" w:type="dxa"/>
              <w:right w:w="108" w:type="dxa"/>
            </w:tcMar>
            <w:vAlign w:val="bottom"/>
          </w:tcPr>
          <w:p w:rsidR="0080798F" w:rsidRDefault="0080798F" w:rsidP="0080798F">
            <w:pPr>
              <w:jc w:val="center"/>
            </w:pPr>
            <w:r>
              <w:rPr>
                <w:rFonts w:ascii="Arial" w:eastAsia="Arial" w:hAnsi="Arial" w:cs="Arial"/>
                <w:b/>
                <w:sz w:val="24"/>
              </w:rPr>
              <w:t>Part V: Applications</w:t>
            </w:r>
          </w:p>
        </w:tc>
      </w:tr>
      <w:tr w:rsidR="0018307A" w:rsidTr="000B175D">
        <w:trPr>
          <w:trHeight w:val="38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20</w:t>
            </w:r>
          </w:p>
        </w:tc>
        <w:tc>
          <w:tcPr>
            <w:tcW w:w="892"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10/26</w:t>
            </w:r>
          </w:p>
        </w:tc>
        <w:tc>
          <w:tcPr>
            <w:tcW w:w="4672" w:type="dxa"/>
            <w:tcMar>
              <w:top w:w="100" w:type="dxa"/>
              <w:left w:w="108" w:type="dxa"/>
              <w:bottom w:w="100" w:type="dxa"/>
              <w:right w:w="108" w:type="dxa"/>
            </w:tcMar>
          </w:tcPr>
          <w:p w:rsidR="0018307A" w:rsidRDefault="0080798F" w:rsidP="0080798F">
            <w:pPr>
              <w:spacing w:before="120" w:after="120" w:line="360" w:lineRule="auto"/>
            </w:pPr>
            <w:r>
              <w:rPr>
                <w:rFonts w:ascii="Arial" w:eastAsia="Arial" w:hAnsi="Arial" w:cs="Arial"/>
                <w:sz w:val="24"/>
              </w:rPr>
              <w:t>C</w:t>
            </w:r>
            <w:r w:rsidR="006F07C9">
              <w:rPr>
                <w:rFonts w:ascii="Arial" w:eastAsia="Arial" w:hAnsi="Arial" w:cs="Arial"/>
                <w:sz w:val="24"/>
              </w:rPr>
              <w:t>ooperation and competition</w:t>
            </w:r>
          </w:p>
        </w:tc>
        <w:tc>
          <w:tcPr>
            <w:tcW w:w="2348"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(Dawes, 1988)</w:t>
            </w:r>
            <w:r>
              <w:rPr>
                <w:rFonts w:ascii="Arial" w:eastAsia="Arial" w:hAnsi="Arial" w:cs="Arial"/>
                <w:sz w:val="24"/>
              </w:rPr>
              <w:br/>
              <w:t xml:space="preserve"> </w:t>
            </w:r>
          </w:p>
        </w:tc>
        <w:tc>
          <w:tcPr>
            <w:tcW w:w="1890" w:type="dxa"/>
            <w:gridSpan w:val="2"/>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Baron 18</w:t>
            </w:r>
            <w:r>
              <w:rPr>
                <w:rFonts w:ascii="Arial" w:eastAsia="Arial" w:hAnsi="Arial" w:cs="Arial"/>
                <w:sz w:val="24"/>
              </w:rPr>
              <w:br/>
              <w:t>(Hardin, 1968)</w:t>
            </w:r>
            <w:r>
              <w:rPr>
                <w:rFonts w:ascii="Arial" w:eastAsia="Arial" w:hAnsi="Arial" w:cs="Arial"/>
                <w:sz w:val="24"/>
              </w:rPr>
              <w:br/>
              <w:t>(Hardin, 1988)</w:t>
            </w:r>
          </w:p>
        </w:tc>
      </w:tr>
      <w:tr w:rsidR="0018307A" w:rsidTr="000B175D">
        <w:trPr>
          <w:trHeight w:val="30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21</w:t>
            </w:r>
          </w:p>
        </w:tc>
        <w:tc>
          <w:tcPr>
            <w:tcW w:w="892"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10/28</w:t>
            </w:r>
          </w:p>
        </w:tc>
        <w:tc>
          <w:tcPr>
            <w:tcW w:w="4672"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The ultimatum game</w:t>
            </w:r>
          </w:p>
        </w:tc>
        <w:tc>
          <w:tcPr>
            <w:tcW w:w="2348"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(Thaler, 1988)</w:t>
            </w:r>
            <w:r>
              <w:rPr>
                <w:rFonts w:ascii="Arial" w:eastAsia="Arial" w:hAnsi="Arial" w:cs="Arial"/>
                <w:sz w:val="24"/>
              </w:rPr>
              <w:br/>
              <w:t>(Camerer 1995)</w:t>
            </w:r>
            <w:r>
              <w:rPr>
                <w:rFonts w:ascii="Arial" w:eastAsia="Arial" w:hAnsi="Arial" w:cs="Arial"/>
                <w:sz w:val="24"/>
              </w:rPr>
              <w:br/>
              <w:t>(Osumi, 2010)</w:t>
            </w:r>
          </w:p>
        </w:tc>
        <w:tc>
          <w:tcPr>
            <w:tcW w:w="1890" w:type="dxa"/>
            <w:gridSpan w:val="2"/>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Baron 17</w:t>
            </w:r>
          </w:p>
        </w:tc>
      </w:tr>
      <w:tr w:rsidR="0018307A" w:rsidTr="000B175D">
        <w:trPr>
          <w:trHeight w:val="380"/>
        </w:trPr>
        <w:tc>
          <w:tcPr>
            <w:tcW w:w="738" w:type="dxa"/>
            <w:tcMar>
              <w:top w:w="100" w:type="dxa"/>
              <w:left w:w="108" w:type="dxa"/>
              <w:bottom w:w="100" w:type="dxa"/>
              <w:right w:w="108" w:type="dxa"/>
            </w:tcMar>
          </w:tcPr>
          <w:p w:rsidR="0018307A" w:rsidRDefault="006F07C9">
            <w:pPr>
              <w:spacing w:before="120" w:after="120" w:line="360" w:lineRule="auto"/>
              <w:jc w:val="center"/>
            </w:pPr>
            <w:r>
              <w:rPr>
                <w:rFonts w:ascii="Arial" w:eastAsia="Arial" w:hAnsi="Arial" w:cs="Arial"/>
                <w:sz w:val="24"/>
              </w:rPr>
              <w:t>22</w:t>
            </w:r>
          </w:p>
        </w:tc>
        <w:tc>
          <w:tcPr>
            <w:tcW w:w="892" w:type="dxa"/>
            <w:tcMar>
              <w:top w:w="100" w:type="dxa"/>
              <w:left w:w="108" w:type="dxa"/>
              <w:bottom w:w="100" w:type="dxa"/>
              <w:right w:w="108" w:type="dxa"/>
            </w:tcMar>
          </w:tcPr>
          <w:p w:rsidR="0018307A" w:rsidRDefault="000B175D">
            <w:pPr>
              <w:spacing w:before="120" w:after="120" w:line="360" w:lineRule="auto"/>
              <w:jc w:val="right"/>
            </w:pPr>
            <w:r>
              <w:rPr>
                <w:rFonts w:ascii="Arial" w:eastAsia="Arial" w:hAnsi="Arial" w:cs="Arial"/>
                <w:sz w:val="24"/>
              </w:rPr>
              <w:t>11/2</w:t>
            </w:r>
          </w:p>
        </w:tc>
        <w:tc>
          <w:tcPr>
            <w:tcW w:w="4672" w:type="dxa"/>
            <w:tcMar>
              <w:top w:w="100" w:type="dxa"/>
              <w:left w:w="108" w:type="dxa"/>
              <w:bottom w:w="100" w:type="dxa"/>
              <w:right w:w="108" w:type="dxa"/>
            </w:tcMar>
          </w:tcPr>
          <w:p w:rsidR="0018307A" w:rsidRDefault="0080798F" w:rsidP="0080798F">
            <w:pPr>
              <w:spacing w:before="120" w:after="120" w:line="360" w:lineRule="auto"/>
            </w:pPr>
            <w:r>
              <w:rPr>
                <w:rFonts w:ascii="Arial" w:eastAsia="Arial" w:hAnsi="Arial" w:cs="Arial"/>
                <w:sz w:val="24"/>
              </w:rPr>
              <w:t>Additional variants of the ultimatum game</w:t>
            </w:r>
          </w:p>
        </w:tc>
        <w:tc>
          <w:tcPr>
            <w:tcW w:w="2348" w:type="dxa"/>
            <w:tcMar>
              <w:top w:w="100" w:type="dxa"/>
              <w:left w:w="108" w:type="dxa"/>
              <w:bottom w:w="100" w:type="dxa"/>
              <w:right w:w="108" w:type="dxa"/>
            </w:tcMar>
          </w:tcPr>
          <w:p w:rsidR="0018307A" w:rsidRDefault="006F07C9">
            <w:pPr>
              <w:spacing w:before="120" w:after="120" w:line="360" w:lineRule="auto"/>
            </w:pPr>
            <w:r>
              <w:rPr>
                <w:rFonts w:ascii="Arial" w:eastAsia="Arial" w:hAnsi="Arial" w:cs="Arial"/>
                <w:sz w:val="24"/>
              </w:rPr>
              <w:t>(continued)</w:t>
            </w:r>
          </w:p>
        </w:tc>
        <w:tc>
          <w:tcPr>
            <w:tcW w:w="1890" w:type="dxa"/>
            <w:gridSpan w:val="2"/>
            <w:tcMar>
              <w:top w:w="100" w:type="dxa"/>
              <w:left w:w="108" w:type="dxa"/>
              <w:bottom w:w="100" w:type="dxa"/>
              <w:right w:w="108" w:type="dxa"/>
            </w:tcMar>
          </w:tcPr>
          <w:p w:rsidR="0018307A" w:rsidRDefault="0018307A">
            <w:pPr>
              <w:spacing w:before="120" w:after="120" w:line="360" w:lineRule="auto"/>
            </w:pPr>
          </w:p>
        </w:tc>
      </w:tr>
      <w:tr w:rsidR="00716318" w:rsidTr="000B175D">
        <w:trPr>
          <w:trHeight w:val="840"/>
        </w:trPr>
        <w:tc>
          <w:tcPr>
            <w:tcW w:w="738" w:type="dxa"/>
            <w:tcMar>
              <w:top w:w="100" w:type="dxa"/>
              <w:left w:w="108" w:type="dxa"/>
              <w:bottom w:w="100" w:type="dxa"/>
              <w:right w:w="108" w:type="dxa"/>
            </w:tcMar>
          </w:tcPr>
          <w:p w:rsidR="00716318" w:rsidRDefault="00716318">
            <w:pPr>
              <w:spacing w:before="120" w:after="120" w:line="360" w:lineRule="auto"/>
              <w:jc w:val="center"/>
            </w:pPr>
            <w:r>
              <w:rPr>
                <w:rFonts w:ascii="Arial" w:eastAsia="Arial" w:hAnsi="Arial" w:cs="Arial"/>
                <w:sz w:val="24"/>
              </w:rPr>
              <w:t>23</w:t>
            </w:r>
          </w:p>
        </w:tc>
        <w:tc>
          <w:tcPr>
            <w:tcW w:w="892" w:type="dxa"/>
            <w:tcMar>
              <w:top w:w="100" w:type="dxa"/>
              <w:left w:w="108" w:type="dxa"/>
              <w:bottom w:w="100" w:type="dxa"/>
              <w:right w:w="108" w:type="dxa"/>
            </w:tcMar>
          </w:tcPr>
          <w:p w:rsidR="00716318" w:rsidRDefault="000B175D">
            <w:pPr>
              <w:spacing w:before="120" w:after="120" w:line="360" w:lineRule="auto"/>
              <w:jc w:val="right"/>
            </w:pPr>
            <w:r>
              <w:rPr>
                <w:rFonts w:ascii="Arial" w:eastAsia="Arial" w:hAnsi="Arial" w:cs="Arial"/>
                <w:sz w:val="24"/>
              </w:rPr>
              <w:t>11/4</w:t>
            </w:r>
          </w:p>
        </w:tc>
        <w:tc>
          <w:tcPr>
            <w:tcW w:w="4672" w:type="dxa"/>
            <w:tcMar>
              <w:top w:w="100" w:type="dxa"/>
              <w:left w:w="108" w:type="dxa"/>
              <w:bottom w:w="100" w:type="dxa"/>
              <w:right w:w="108" w:type="dxa"/>
            </w:tcMar>
          </w:tcPr>
          <w:p w:rsidR="00716318" w:rsidRDefault="00716318" w:rsidP="00D51A90">
            <w:pPr>
              <w:spacing w:before="120" w:after="120" w:line="360" w:lineRule="auto"/>
            </w:pPr>
            <w:r>
              <w:rPr>
                <w:rFonts w:ascii="Arial" w:eastAsia="Arial" w:hAnsi="Arial" w:cs="Arial"/>
                <w:sz w:val="24"/>
              </w:rPr>
              <w:t>Evaluating choices</w:t>
            </w:r>
            <w:r>
              <w:rPr>
                <w:rFonts w:ascii="Arial" w:eastAsia="Arial" w:hAnsi="Arial" w:cs="Arial"/>
                <w:sz w:val="24"/>
              </w:rPr>
              <w:br/>
              <w:t>Happiness, value</w:t>
            </w:r>
          </w:p>
        </w:tc>
        <w:tc>
          <w:tcPr>
            <w:tcW w:w="2348" w:type="dxa"/>
            <w:tcMar>
              <w:top w:w="100" w:type="dxa"/>
              <w:left w:w="108" w:type="dxa"/>
              <w:bottom w:w="100" w:type="dxa"/>
              <w:right w:w="108" w:type="dxa"/>
            </w:tcMar>
          </w:tcPr>
          <w:p w:rsidR="00716318" w:rsidRDefault="00716318" w:rsidP="00D51A90">
            <w:pPr>
              <w:spacing w:before="120" w:after="120" w:line="360" w:lineRule="auto"/>
            </w:pPr>
            <w:r>
              <w:rPr>
                <w:rFonts w:ascii="Arial" w:eastAsia="Arial" w:hAnsi="Arial" w:cs="Arial"/>
                <w:sz w:val="24"/>
              </w:rPr>
              <w:t>Hastie 9</w:t>
            </w:r>
          </w:p>
          <w:p w:rsidR="00716318" w:rsidRDefault="00716318" w:rsidP="00D51A90">
            <w:pPr>
              <w:spacing w:before="120" w:after="120" w:line="360" w:lineRule="auto"/>
            </w:pPr>
          </w:p>
        </w:tc>
        <w:tc>
          <w:tcPr>
            <w:tcW w:w="1890" w:type="dxa"/>
            <w:gridSpan w:val="2"/>
            <w:tcMar>
              <w:top w:w="100" w:type="dxa"/>
              <w:left w:w="108" w:type="dxa"/>
              <w:bottom w:w="100" w:type="dxa"/>
              <w:right w:w="108" w:type="dxa"/>
            </w:tcMar>
          </w:tcPr>
          <w:p w:rsidR="00716318" w:rsidRDefault="00716318" w:rsidP="00D51A90">
            <w:pPr>
              <w:spacing w:before="120" w:after="120" w:line="360" w:lineRule="auto"/>
            </w:pPr>
          </w:p>
        </w:tc>
      </w:tr>
      <w:tr w:rsidR="00716318" w:rsidTr="000B175D">
        <w:trPr>
          <w:trHeight w:val="960"/>
        </w:trPr>
        <w:tc>
          <w:tcPr>
            <w:tcW w:w="738" w:type="dxa"/>
            <w:tcMar>
              <w:top w:w="100" w:type="dxa"/>
              <w:left w:w="108" w:type="dxa"/>
              <w:bottom w:w="100" w:type="dxa"/>
              <w:right w:w="108" w:type="dxa"/>
            </w:tcMar>
          </w:tcPr>
          <w:p w:rsidR="00716318" w:rsidRDefault="00716318">
            <w:pPr>
              <w:spacing w:before="120" w:after="120" w:line="360" w:lineRule="auto"/>
              <w:jc w:val="center"/>
            </w:pPr>
            <w:r>
              <w:rPr>
                <w:rFonts w:ascii="Arial" w:eastAsia="Arial" w:hAnsi="Arial" w:cs="Arial"/>
                <w:sz w:val="24"/>
              </w:rPr>
              <w:t>24</w:t>
            </w:r>
          </w:p>
        </w:tc>
        <w:tc>
          <w:tcPr>
            <w:tcW w:w="892" w:type="dxa"/>
            <w:tcMar>
              <w:top w:w="100" w:type="dxa"/>
              <w:left w:w="108" w:type="dxa"/>
              <w:bottom w:w="100" w:type="dxa"/>
              <w:right w:w="108" w:type="dxa"/>
            </w:tcMar>
          </w:tcPr>
          <w:p w:rsidR="00716318" w:rsidRDefault="000B175D">
            <w:pPr>
              <w:spacing w:before="120" w:after="120" w:line="360" w:lineRule="auto"/>
              <w:jc w:val="right"/>
            </w:pPr>
            <w:r>
              <w:rPr>
                <w:rFonts w:ascii="Arial" w:eastAsia="Arial" w:hAnsi="Arial" w:cs="Arial"/>
                <w:sz w:val="24"/>
              </w:rPr>
              <w:t>11/9</w:t>
            </w:r>
          </w:p>
        </w:tc>
        <w:tc>
          <w:tcPr>
            <w:tcW w:w="4672" w:type="dxa"/>
            <w:tcMar>
              <w:top w:w="100" w:type="dxa"/>
              <w:left w:w="108" w:type="dxa"/>
              <w:bottom w:w="100" w:type="dxa"/>
              <w:right w:w="108" w:type="dxa"/>
            </w:tcMar>
          </w:tcPr>
          <w:p w:rsidR="00716318" w:rsidRDefault="00716318" w:rsidP="00D51A90">
            <w:pPr>
              <w:spacing w:before="120" w:after="120" w:line="360" w:lineRule="auto"/>
            </w:pPr>
            <w:r>
              <w:rPr>
                <w:rFonts w:ascii="Arial" w:eastAsia="Arial" w:hAnsi="Arial" w:cs="Arial"/>
                <w:sz w:val="24"/>
              </w:rPr>
              <w:t>Prospect theory, framing effects</w:t>
            </w:r>
          </w:p>
        </w:tc>
        <w:tc>
          <w:tcPr>
            <w:tcW w:w="2348" w:type="dxa"/>
            <w:tcMar>
              <w:top w:w="100" w:type="dxa"/>
              <w:left w:w="108" w:type="dxa"/>
              <w:bottom w:w="100" w:type="dxa"/>
              <w:right w:w="108" w:type="dxa"/>
            </w:tcMar>
          </w:tcPr>
          <w:p w:rsidR="00716318" w:rsidRDefault="00716318" w:rsidP="00D51A90">
            <w:pPr>
              <w:spacing w:before="120" w:after="120" w:line="360" w:lineRule="auto"/>
            </w:pPr>
            <w:r>
              <w:rPr>
                <w:rFonts w:ascii="Arial" w:eastAsia="Arial" w:hAnsi="Arial" w:cs="Arial"/>
                <w:sz w:val="24"/>
              </w:rPr>
              <w:t>Angner 7</w:t>
            </w:r>
            <w:r>
              <w:rPr>
                <w:rFonts w:ascii="Arial" w:eastAsia="Arial" w:hAnsi="Arial" w:cs="Arial"/>
                <w:sz w:val="24"/>
              </w:rPr>
              <w:br/>
              <w:t>Hastie 12</w:t>
            </w:r>
            <w:r>
              <w:rPr>
                <w:rFonts w:ascii="Arial" w:eastAsia="Arial" w:hAnsi="Arial" w:cs="Arial"/>
                <w:sz w:val="24"/>
              </w:rPr>
              <w:br/>
              <w:t>(Kahneman, 1991)</w:t>
            </w:r>
          </w:p>
        </w:tc>
        <w:tc>
          <w:tcPr>
            <w:tcW w:w="1890" w:type="dxa"/>
            <w:gridSpan w:val="2"/>
            <w:tcMar>
              <w:top w:w="100" w:type="dxa"/>
              <w:left w:w="108" w:type="dxa"/>
              <w:bottom w:w="100" w:type="dxa"/>
              <w:right w:w="108" w:type="dxa"/>
            </w:tcMar>
          </w:tcPr>
          <w:p w:rsidR="00395673" w:rsidRDefault="00395673" w:rsidP="00D51A90">
            <w:pPr>
              <w:spacing w:before="120" w:after="120" w:line="360" w:lineRule="auto"/>
              <w:rPr>
                <w:rFonts w:ascii="Arial" w:eastAsia="Arial" w:hAnsi="Arial" w:cs="Arial"/>
                <w:sz w:val="24"/>
              </w:rPr>
            </w:pPr>
            <w:r>
              <w:rPr>
                <w:rFonts w:ascii="Arial" w:eastAsia="Arial" w:hAnsi="Arial" w:cs="Arial"/>
                <w:sz w:val="24"/>
              </w:rPr>
              <w:t>Thaler 2-4</w:t>
            </w:r>
          </w:p>
          <w:p w:rsidR="00716318" w:rsidRDefault="00716318" w:rsidP="00D51A90">
            <w:pPr>
              <w:spacing w:before="120" w:after="120" w:line="360" w:lineRule="auto"/>
            </w:pPr>
            <w:r>
              <w:rPr>
                <w:rFonts w:ascii="Arial" w:eastAsia="Arial" w:hAnsi="Arial" w:cs="Arial"/>
                <w:sz w:val="24"/>
              </w:rPr>
              <w:t>Baron 11</w:t>
            </w:r>
            <w:r>
              <w:rPr>
                <w:rFonts w:ascii="Arial" w:eastAsia="Arial" w:hAnsi="Arial" w:cs="Arial"/>
                <w:sz w:val="24"/>
              </w:rPr>
              <w:br/>
              <w:t xml:space="preserve">(Kahneman, </w:t>
            </w:r>
            <w:r>
              <w:rPr>
                <w:rFonts w:ascii="Arial" w:eastAsia="Arial" w:hAnsi="Arial" w:cs="Arial"/>
                <w:sz w:val="24"/>
              </w:rPr>
              <w:lastRenderedPageBreak/>
              <w:t>2003)</w:t>
            </w:r>
          </w:p>
        </w:tc>
      </w:tr>
      <w:tr w:rsidR="00716318" w:rsidTr="000B175D">
        <w:tc>
          <w:tcPr>
            <w:tcW w:w="738" w:type="dxa"/>
            <w:tcMar>
              <w:top w:w="100" w:type="dxa"/>
              <w:left w:w="108" w:type="dxa"/>
              <w:bottom w:w="100" w:type="dxa"/>
              <w:right w:w="108" w:type="dxa"/>
            </w:tcMar>
          </w:tcPr>
          <w:p w:rsidR="00716318" w:rsidRDefault="00716318" w:rsidP="00716318">
            <w:pPr>
              <w:spacing w:before="120" w:after="120" w:line="360" w:lineRule="auto"/>
              <w:jc w:val="center"/>
            </w:pPr>
            <w:r>
              <w:rPr>
                <w:rFonts w:ascii="Arial" w:eastAsia="Arial" w:hAnsi="Arial" w:cs="Arial"/>
                <w:sz w:val="24"/>
              </w:rPr>
              <w:lastRenderedPageBreak/>
              <w:t>25</w:t>
            </w:r>
          </w:p>
        </w:tc>
        <w:tc>
          <w:tcPr>
            <w:tcW w:w="892" w:type="dxa"/>
            <w:tcMar>
              <w:top w:w="100" w:type="dxa"/>
              <w:left w:w="108" w:type="dxa"/>
              <w:bottom w:w="100" w:type="dxa"/>
              <w:right w:w="108" w:type="dxa"/>
            </w:tcMar>
          </w:tcPr>
          <w:p w:rsidR="00716318" w:rsidRDefault="000B175D" w:rsidP="00716318">
            <w:pPr>
              <w:spacing w:before="120" w:after="120" w:line="360" w:lineRule="auto"/>
              <w:jc w:val="right"/>
            </w:pPr>
            <w:r>
              <w:rPr>
                <w:rFonts w:ascii="Arial" w:eastAsia="Arial" w:hAnsi="Arial" w:cs="Arial"/>
                <w:sz w:val="24"/>
              </w:rPr>
              <w:t>11/16</w:t>
            </w:r>
          </w:p>
        </w:tc>
        <w:tc>
          <w:tcPr>
            <w:tcW w:w="4672" w:type="dxa"/>
            <w:tcMar>
              <w:top w:w="100" w:type="dxa"/>
              <w:left w:w="108" w:type="dxa"/>
              <w:bottom w:w="100" w:type="dxa"/>
              <w:right w:w="108" w:type="dxa"/>
            </w:tcMar>
          </w:tcPr>
          <w:p w:rsidR="00716318" w:rsidRDefault="00716318" w:rsidP="00516FB4">
            <w:pPr>
              <w:spacing w:before="120" w:after="120" w:line="360" w:lineRule="auto"/>
            </w:pPr>
            <w:r>
              <w:rPr>
                <w:rFonts w:ascii="Arial" w:eastAsia="Arial" w:hAnsi="Arial" w:cs="Arial"/>
                <w:sz w:val="24"/>
              </w:rPr>
              <w:t>Temporal aspects (discounting, affective forecasting)</w:t>
            </w:r>
          </w:p>
        </w:tc>
        <w:tc>
          <w:tcPr>
            <w:tcW w:w="2348" w:type="dxa"/>
            <w:tcMar>
              <w:top w:w="100" w:type="dxa"/>
              <w:left w:w="108" w:type="dxa"/>
              <w:bottom w:w="100" w:type="dxa"/>
              <w:right w:w="108" w:type="dxa"/>
            </w:tcMar>
          </w:tcPr>
          <w:p w:rsidR="00716318" w:rsidRDefault="00716318" w:rsidP="00516FB4">
            <w:pPr>
              <w:spacing w:before="120" w:after="120" w:line="360" w:lineRule="auto"/>
            </w:pPr>
            <w:r>
              <w:rPr>
                <w:rFonts w:ascii="Arial" w:eastAsia="Arial" w:hAnsi="Arial" w:cs="Arial"/>
                <w:sz w:val="24"/>
              </w:rPr>
              <w:t>(Loewenstein, 1989)</w:t>
            </w:r>
          </w:p>
        </w:tc>
        <w:tc>
          <w:tcPr>
            <w:tcW w:w="1890" w:type="dxa"/>
            <w:gridSpan w:val="2"/>
            <w:tcMar>
              <w:top w:w="100" w:type="dxa"/>
              <w:left w:w="108" w:type="dxa"/>
              <w:bottom w:w="100" w:type="dxa"/>
              <w:right w:w="108" w:type="dxa"/>
            </w:tcMar>
          </w:tcPr>
          <w:p w:rsidR="00716318" w:rsidRDefault="00716318" w:rsidP="00516FB4">
            <w:pPr>
              <w:spacing w:before="120" w:after="120" w:line="360" w:lineRule="auto"/>
            </w:pPr>
            <w:r>
              <w:rPr>
                <w:rFonts w:ascii="Arial" w:eastAsia="Arial" w:hAnsi="Arial" w:cs="Arial"/>
                <w:sz w:val="24"/>
              </w:rPr>
              <w:t>Angner 8 and 9 Baron 19</w:t>
            </w:r>
            <w:r>
              <w:rPr>
                <w:rFonts w:ascii="Arial" w:eastAsia="Arial" w:hAnsi="Arial" w:cs="Arial"/>
                <w:sz w:val="24"/>
              </w:rPr>
              <w:br/>
              <w:t>(Morewedge, 2005)</w:t>
            </w:r>
          </w:p>
        </w:tc>
      </w:tr>
      <w:tr w:rsidR="00716318" w:rsidTr="000B175D">
        <w:trPr>
          <w:trHeight w:val="360"/>
        </w:trPr>
        <w:tc>
          <w:tcPr>
            <w:tcW w:w="738" w:type="dxa"/>
            <w:tcMar>
              <w:top w:w="100" w:type="dxa"/>
              <w:left w:w="108" w:type="dxa"/>
              <w:bottom w:w="100" w:type="dxa"/>
              <w:right w:w="108" w:type="dxa"/>
            </w:tcMar>
          </w:tcPr>
          <w:p w:rsidR="00716318" w:rsidRDefault="00716318" w:rsidP="00716318">
            <w:pPr>
              <w:spacing w:before="120" w:after="120" w:line="360" w:lineRule="auto"/>
              <w:jc w:val="center"/>
            </w:pPr>
            <w:r>
              <w:rPr>
                <w:rFonts w:ascii="Arial" w:eastAsia="Arial" w:hAnsi="Arial" w:cs="Arial"/>
                <w:sz w:val="24"/>
              </w:rPr>
              <w:t>26</w:t>
            </w:r>
          </w:p>
        </w:tc>
        <w:tc>
          <w:tcPr>
            <w:tcW w:w="892" w:type="dxa"/>
            <w:tcMar>
              <w:top w:w="100" w:type="dxa"/>
              <w:left w:w="108" w:type="dxa"/>
              <w:bottom w:w="100" w:type="dxa"/>
              <w:right w:w="108" w:type="dxa"/>
            </w:tcMar>
          </w:tcPr>
          <w:p w:rsidR="00716318" w:rsidRDefault="000B175D">
            <w:pPr>
              <w:spacing w:before="120" w:after="120" w:line="360" w:lineRule="auto"/>
              <w:jc w:val="right"/>
            </w:pPr>
            <w:r>
              <w:rPr>
                <w:rFonts w:ascii="Arial" w:eastAsia="Arial" w:hAnsi="Arial" w:cs="Arial"/>
                <w:sz w:val="24"/>
              </w:rPr>
              <w:t>11/18</w:t>
            </w:r>
          </w:p>
        </w:tc>
        <w:tc>
          <w:tcPr>
            <w:tcW w:w="4672" w:type="dxa"/>
            <w:tcMar>
              <w:top w:w="100" w:type="dxa"/>
              <w:left w:w="108" w:type="dxa"/>
              <w:bottom w:w="100" w:type="dxa"/>
              <w:right w:w="108" w:type="dxa"/>
            </w:tcMar>
          </w:tcPr>
          <w:p w:rsidR="00716318" w:rsidRDefault="00716318">
            <w:pPr>
              <w:spacing w:before="120" w:after="120" w:line="360" w:lineRule="auto"/>
            </w:pPr>
            <w:r>
              <w:rPr>
                <w:rFonts w:ascii="Arial" w:eastAsia="Arial" w:hAnsi="Arial" w:cs="Arial"/>
                <w:sz w:val="24"/>
              </w:rPr>
              <w:t>Student presentations I</w:t>
            </w:r>
          </w:p>
        </w:tc>
        <w:tc>
          <w:tcPr>
            <w:tcW w:w="2348" w:type="dxa"/>
            <w:tcMar>
              <w:top w:w="100" w:type="dxa"/>
              <w:left w:w="108" w:type="dxa"/>
              <w:bottom w:w="100" w:type="dxa"/>
              <w:right w:w="108" w:type="dxa"/>
            </w:tcMar>
          </w:tcPr>
          <w:p w:rsidR="00716318" w:rsidRDefault="00716318">
            <w:pPr>
              <w:spacing w:before="120" w:after="120" w:line="360" w:lineRule="auto"/>
            </w:pPr>
          </w:p>
        </w:tc>
        <w:tc>
          <w:tcPr>
            <w:tcW w:w="1890" w:type="dxa"/>
            <w:gridSpan w:val="2"/>
            <w:tcMar>
              <w:top w:w="100" w:type="dxa"/>
              <w:left w:w="108" w:type="dxa"/>
              <w:bottom w:w="100" w:type="dxa"/>
              <w:right w:w="108" w:type="dxa"/>
            </w:tcMar>
          </w:tcPr>
          <w:p w:rsidR="00716318" w:rsidRDefault="00716318">
            <w:pPr>
              <w:spacing w:before="120" w:after="120" w:line="360" w:lineRule="auto"/>
            </w:pPr>
          </w:p>
        </w:tc>
      </w:tr>
      <w:tr w:rsidR="00716318" w:rsidTr="000B175D">
        <w:trPr>
          <w:trHeight w:val="360"/>
        </w:trPr>
        <w:tc>
          <w:tcPr>
            <w:tcW w:w="738" w:type="dxa"/>
            <w:tcMar>
              <w:top w:w="100" w:type="dxa"/>
              <w:left w:w="108" w:type="dxa"/>
              <w:bottom w:w="100" w:type="dxa"/>
              <w:right w:w="108" w:type="dxa"/>
            </w:tcMar>
          </w:tcPr>
          <w:p w:rsidR="00716318" w:rsidRDefault="00716318">
            <w:pPr>
              <w:spacing w:before="120" w:after="120" w:line="360" w:lineRule="auto"/>
              <w:jc w:val="center"/>
            </w:pPr>
            <w:r>
              <w:rPr>
                <w:rFonts w:ascii="Arial" w:eastAsia="Arial" w:hAnsi="Arial" w:cs="Arial"/>
                <w:sz w:val="24"/>
              </w:rPr>
              <w:t>27</w:t>
            </w:r>
          </w:p>
        </w:tc>
        <w:tc>
          <w:tcPr>
            <w:tcW w:w="892" w:type="dxa"/>
            <w:tcMar>
              <w:top w:w="100" w:type="dxa"/>
              <w:left w:w="108" w:type="dxa"/>
              <w:bottom w:w="100" w:type="dxa"/>
              <w:right w:w="108" w:type="dxa"/>
            </w:tcMar>
          </w:tcPr>
          <w:p w:rsidR="00716318" w:rsidRDefault="000B175D">
            <w:pPr>
              <w:spacing w:before="120" w:after="120" w:line="360" w:lineRule="auto"/>
              <w:jc w:val="right"/>
            </w:pPr>
            <w:r>
              <w:rPr>
                <w:rFonts w:ascii="Arial" w:eastAsia="Arial" w:hAnsi="Arial" w:cs="Arial"/>
                <w:sz w:val="24"/>
              </w:rPr>
              <w:t>11/23</w:t>
            </w:r>
          </w:p>
        </w:tc>
        <w:tc>
          <w:tcPr>
            <w:tcW w:w="4672" w:type="dxa"/>
            <w:tcMar>
              <w:top w:w="100" w:type="dxa"/>
              <w:left w:w="108" w:type="dxa"/>
              <w:bottom w:w="100" w:type="dxa"/>
              <w:right w:w="108" w:type="dxa"/>
            </w:tcMar>
          </w:tcPr>
          <w:p w:rsidR="00716318" w:rsidRDefault="00716318">
            <w:pPr>
              <w:spacing w:before="120" w:after="120" w:line="360" w:lineRule="auto"/>
            </w:pPr>
            <w:r>
              <w:rPr>
                <w:rFonts w:ascii="Arial" w:eastAsia="Arial" w:hAnsi="Arial" w:cs="Arial"/>
                <w:sz w:val="24"/>
              </w:rPr>
              <w:t>Student presentations II</w:t>
            </w:r>
            <w:r w:rsidR="00861A59">
              <w:rPr>
                <w:rFonts w:ascii="Arial" w:eastAsia="Arial" w:hAnsi="Arial" w:cs="Arial"/>
                <w:sz w:val="24"/>
              </w:rPr>
              <w:t xml:space="preserve"> (</w:t>
            </w:r>
          </w:p>
        </w:tc>
        <w:tc>
          <w:tcPr>
            <w:tcW w:w="2348" w:type="dxa"/>
            <w:tcMar>
              <w:top w:w="100" w:type="dxa"/>
              <w:left w:w="108" w:type="dxa"/>
              <w:bottom w:w="100" w:type="dxa"/>
              <w:right w:w="108" w:type="dxa"/>
            </w:tcMar>
          </w:tcPr>
          <w:p w:rsidR="00716318" w:rsidRDefault="00716318">
            <w:pPr>
              <w:spacing w:before="120" w:after="120" w:line="360" w:lineRule="auto"/>
            </w:pPr>
          </w:p>
        </w:tc>
        <w:tc>
          <w:tcPr>
            <w:tcW w:w="1890" w:type="dxa"/>
            <w:gridSpan w:val="2"/>
            <w:tcMar>
              <w:top w:w="100" w:type="dxa"/>
              <w:left w:w="108" w:type="dxa"/>
              <w:bottom w:w="100" w:type="dxa"/>
              <w:right w:w="108" w:type="dxa"/>
            </w:tcMar>
          </w:tcPr>
          <w:p w:rsidR="00716318" w:rsidRDefault="00716318">
            <w:pPr>
              <w:spacing w:before="120" w:after="120" w:line="360" w:lineRule="auto"/>
            </w:pPr>
          </w:p>
        </w:tc>
      </w:tr>
      <w:tr w:rsidR="00716318" w:rsidTr="000B175D">
        <w:trPr>
          <w:trHeight w:val="360"/>
        </w:trPr>
        <w:tc>
          <w:tcPr>
            <w:tcW w:w="738" w:type="dxa"/>
            <w:tcMar>
              <w:top w:w="100" w:type="dxa"/>
              <w:left w:w="108" w:type="dxa"/>
              <w:bottom w:w="100" w:type="dxa"/>
              <w:right w:w="108" w:type="dxa"/>
            </w:tcMar>
          </w:tcPr>
          <w:p w:rsidR="00716318" w:rsidRDefault="00716318">
            <w:pPr>
              <w:spacing w:before="120" w:after="120" w:line="360" w:lineRule="auto"/>
              <w:jc w:val="center"/>
            </w:pPr>
            <w:r>
              <w:rPr>
                <w:rFonts w:ascii="Arial" w:eastAsia="Arial" w:hAnsi="Arial" w:cs="Arial"/>
                <w:sz w:val="24"/>
              </w:rPr>
              <w:t>28</w:t>
            </w:r>
          </w:p>
        </w:tc>
        <w:tc>
          <w:tcPr>
            <w:tcW w:w="892" w:type="dxa"/>
            <w:tcMar>
              <w:top w:w="100" w:type="dxa"/>
              <w:left w:w="108" w:type="dxa"/>
              <w:bottom w:w="100" w:type="dxa"/>
              <w:right w:w="108" w:type="dxa"/>
            </w:tcMar>
          </w:tcPr>
          <w:p w:rsidR="00716318" w:rsidRDefault="000B175D">
            <w:pPr>
              <w:spacing w:before="120" w:after="120" w:line="360" w:lineRule="auto"/>
              <w:jc w:val="right"/>
            </w:pPr>
            <w:r>
              <w:rPr>
                <w:rFonts w:ascii="Arial" w:eastAsia="Arial" w:hAnsi="Arial" w:cs="Arial"/>
                <w:sz w:val="24"/>
              </w:rPr>
              <w:t>11/25</w:t>
            </w:r>
          </w:p>
        </w:tc>
        <w:tc>
          <w:tcPr>
            <w:tcW w:w="4672" w:type="dxa"/>
            <w:tcMar>
              <w:top w:w="100" w:type="dxa"/>
              <w:left w:w="108" w:type="dxa"/>
              <w:bottom w:w="100" w:type="dxa"/>
              <w:right w:w="108" w:type="dxa"/>
            </w:tcMar>
          </w:tcPr>
          <w:p w:rsidR="00716318" w:rsidRDefault="00716318">
            <w:pPr>
              <w:spacing w:before="120" w:after="120" w:line="360" w:lineRule="auto"/>
            </w:pPr>
            <w:r>
              <w:rPr>
                <w:rFonts w:ascii="Arial" w:eastAsia="Arial" w:hAnsi="Arial" w:cs="Arial"/>
                <w:sz w:val="24"/>
              </w:rPr>
              <w:t>Student presentations III</w:t>
            </w:r>
            <w:r w:rsidR="00861A59">
              <w:rPr>
                <w:rFonts w:ascii="Arial" w:eastAsia="Arial" w:hAnsi="Arial" w:cs="Arial"/>
                <w:sz w:val="24"/>
              </w:rPr>
              <w:t xml:space="preserve"> (Public policy, Finance)</w:t>
            </w:r>
          </w:p>
        </w:tc>
        <w:tc>
          <w:tcPr>
            <w:tcW w:w="2348" w:type="dxa"/>
            <w:tcMar>
              <w:top w:w="100" w:type="dxa"/>
              <w:left w:w="108" w:type="dxa"/>
              <w:bottom w:w="100" w:type="dxa"/>
              <w:right w:w="108" w:type="dxa"/>
            </w:tcMar>
          </w:tcPr>
          <w:p w:rsidR="00716318" w:rsidRDefault="00716318">
            <w:pPr>
              <w:spacing w:before="120" w:after="120" w:line="360" w:lineRule="auto"/>
            </w:pPr>
          </w:p>
        </w:tc>
        <w:tc>
          <w:tcPr>
            <w:tcW w:w="1890" w:type="dxa"/>
            <w:gridSpan w:val="2"/>
            <w:tcMar>
              <w:top w:w="100" w:type="dxa"/>
              <w:left w:w="108" w:type="dxa"/>
              <w:bottom w:w="100" w:type="dxa"/>
              <w:right w:w="108" w:type="dxa"/>
            </w:tcMar>
          </w:tcPr>
          <w:p w:rsidR="00716318" w:rsidRDefault="00716318">
            <w:pPr>
              <w:spacing w:before="120" w:after="120" w:line="360" w:lineRule="auto"/>
            </w:pPr>
          </w:p>
        </w:tc>
      </w:tr>
      <w:tr w:rsidR="0080798F" w:rsidTr="000B175D">
        <w:tc>
          <w:tcPr>
            <w:tcW w:w="738" w:type="dxa"/>
            <w:tcMar>
              <w:top w:w="100" w:type="dxa"/>
              <w:left w:w="108" w:type="dxa"/>
              <w:bottom w:w="100" w:type="dxa"/>
              <w:right w:w="108" w:type="dxa"/>
            </w:tcMar>
          </w:tcPr>
          <w:p w:rsidR="0080798F" w:rsidRDefault="0080798F" w:rsidP="00D51A90">
            <w:pPr>
              <w:spacing w:before="120" w:after="120" w:line="360" w:lineRule="auto"/>
              <w:jc w:val="center"/>
            </w:pPr>
            <w:r>
              <w:rPr>
                <w:rFonts w:ascii="Arial" w:eastAsia="Arial" w:hAnsi="Arial" w:cs="Arial"/>
                <w:sz w:val="24"/>
              </w:rPr>
              <w:t>29</w:t>
            </w:r>
          </w:p>
        </w:tc>
        <w:tc>
          <w:tcPr>
            <w:tcW w:w="892" w:type="dxa"/>
            <w:tcMar>
              <w:top w:w="100" w:type="dxa"/>
              <w:left w:w="108" w:type="dxa"/>
              <w:bottom w:w="100" w:type="dxa"/>
              <w:right w:w="108" w:type="dxa"/>
            </w:tcMar>
          </w:tcPr>
          <w:p w:rsidR="0080798F" w:rsidRDefault="000B175D" w:rsidP="00D51A90">
            <w:pPr>
              <w:spacing w:before="120" w:after="120" w:line="360" w:lineRule="auto"/>
              <w:jc w:val="right"/>
            </w:pPr>
            <w:r>
              <w:rPr>
                <w:rFonts w:ascii="Arial" w:eastAsia="Arial" w:hAnsi="Arial" w:cs="Arial"/>
                <w:sz w:val="24"/>
              </w:rPr>
              <w:t>11/30</w:t>
            </w:r>
          </w:p>
        </w:tc>
        <w:tc>
          <w:tcPr>
            <w:tcW w:w="4672" w:type="dxa"/>
            <w:tcMar>
              <w:top w:w="100" w:type="dxa"/>
              <w:left w:w="108" w:type="dxa"/>
              <w:bottom w:w="100" w:type="dxa"/>
              <w:right w:w="108" w:type="dxa"/>
            </w:tcMar>
          </w:tcPr>
          <w:p w:rsidR="0080798F" w:rsidRDefault="0080798F" w:rsidP="00D51A90">
            <w:pPr>
              <w:spacing w:before="120" w:after="120" w:line="360" w:lineRule="auto"/>
            </w:pPr>
            <w:r>
              <w:rPr>
                <w:rFonts w:ascii="Arial" w:eastAsia="Arial" w:hAnsi="Arial" w:cs="Arial"/>
                <w:sz w:val="24"/>
              </w:rPr>
              <w:t>Choice strategies, review</w:t>
            </w:r>
          </w:p>
        </w:tc>
        <w:tc>
          <w:tcPr>
            <w:tcW w:w="2348" w:type="dxa"/>
            <w:tcMar>
              <w:top w:w="100" w:type="dxa"/>
              <w:left w:w="108" w:type="dxa"/>
              <w:bottom w:w="100" w:type="dxa"/>
              <w:right w:w="108" w:type="dxa"/>
            </w:tcMar>
          </w:tcPr>
          <w:p w:rsidR="0080798F" w:rsidRDefault="0080798F" w:rsidP="00D51A90">
            <w:pPr>
              <w:spacing w:before="120" w:after="120" w:line="360" w:lineRule="auto"/>
            </w:pPr>
            <w:r>
              <w:rPr>
                <w:rFonts w:ascii="Arial" w:eastAsia="Arial" w:hAnsi="Arial" w:cs="Arial"/>
                <w:sz w:val="24"/>
              </w:rPr>
              <w:t>Hastie 10, 14</w:t>
            </w:r>
          </w:p>
        </w:tc>
        <w:tc>
          <w:tcPr>
            <w:tcW w:w="1890" w:type="dxa"/>
            <w:gridSpan w:val="2"/>
            <w:tcMar>
              <w:top w:w="100" w:type="dxa"/>
              <w:left w:w="108" w:type="dxa"/>
              <w:bottom w:w="100" w:type="dxa"/>
              <w:right w:w="108" w:type="dxa"/>
            </w:tcMar>
          </w:tcPr>
          <w:p w:rsidR="0080798F" w:rsidRDefault="0080798F" w:rsidP="00D51A90">
            <w:pPr>
              <w:spacing w:before="120" w:after="120" w:line="360" w:lineRule="auto"/>
            </w:pPr>
            <w:r>
              <w:rPr>
                <w:rFonts w:ascii="Arial" w:eastAsia="Arial" w:hAnsi="Arial" w:cs="Arial"/>
                <w:sz w:val="24"/>
              </w:rPr>
              <w:t>Baron 9</w:t>
            </w:r>
          </w:p>
        </w:tc>
      </w:tr>
      <w:tr w:rsidR="00716318" w:rsidTr="000B175D">
        <w:tc>
          <w:tcPr>
            <w:tcW w:w="738" w:type="dxa"/>
            <w:tcMar>
              <w:top w:w="100" w:type="dxa"/>
              <w:left w:w="108" w:type="dxa"/>
              <w:bottom w:w="100" w:type="dxa"/>
              <w:right w:w="108" w:type="dxa"/>
            </w:tcMar>
          </w:tcPr>
          <w:p w:rsidR="00716318" w:rsidRDefault="0080798F">
            <w:pPr>
              <w:spacing w:before="120" w:after="120" w:line="360" w:lineRule="auto"/>
              <w:jc w:val="center"/>
            </w:pPr>
            <w:r>
              <w:rPr>
                <w:rFonts w:ascii="Arial" w:eastAsia="Arial" w:hAnsi="Arial" w:cs="Arial"/>
                <w:sz w:val="24"/>
              </w:rPr>
              <w:t>30</w:t>
            </w:r>
          </w:p>
        </w:tc>
        <w:tc>
          <w:tcPr>
            <w:tcW w:w="892" w:type="dxa"/>
            <w:tcMar>
              <w:top w:w="100" w:type="dxa"/>
              <w:left w:w="108" w:type="dxa"/>
              <w:bottom w:w="100" w:type="dxa"/>
              <w:right w:w="108" w:type="dxa"/>
            </w:tcMar>
          </w:tcPr>
          <w:p w:rsidR="00716318" w:rsidRDefault="000B175D" w:rsidP="0080798F">
            <w:pPr>
              <w:spacing w:before="120" w:after="120" w:line="360" w:lineRule="auto"/>
              <w:jc w:val="right"/>
            </w:pPr>
            <w:r>
              <w:rPr>
                <w:rFonts w:ascii="Arial" w:eastAsia="Arial" w:hAnsi="Arial" w:cs="Arial"/>
                <w:sz w:val="24"/>
              </w:rPr>
              <w:t>12/4</w:t>
            </w:r>
          </w:p>
        </w:tc>
        <w:tc>
          <w:tcPr>
            <w:tcW w:w="4672" w:type="dxa"/>
            <w:tcMar>
              <w:top w:w="100" w:type="dxa"/>
              <w:left w:w="108" w:type="dxa"/>
              <w:bottom w:w="100" w:type="dxa"/>
              <w:right w:w="108" w:type="dxa"/>
            </w:tcMar>
          </w:tcPr>
          <w:p w:rsidR="00716318" w:rsidRDefault="0080798F" w:rsidP="000B175D">
            <w:pPr>
              <w:spacing w:before="120" w:after="120" w:line="360" w:lineRule="auto"/>
            </w:pPr>
            <w:r>
              <w:rPr>
                <w:rFonts w:ascii="Arial" w:eastAsia="Arial" w:hAnsi="Arial" w:cs="Arial"/>
                <w:sz w:val="24"/>
              </w:rPr>
              <w:t>Final exam 1</w:t>
            </w:r>
            <w:r w:rsidR="000B175D">
              <w:rPr>
                <w:rFonts w:ascii="Arial" w:eastAsia="Arial" w:hAnsi="Arial" w:cs="Arial"/>
                <w:sz w:val="24"/>
              </w:rPr>
              <w:t>0:30 am – 1:00 pm</w:t>
            </w:r>
          </w:p>
        </w:tc>
        <w:tc>
          <w:tcPr>
            <w:tcW w:w="2348" w:type="dxa"/>
            <w:tcMar>
              <w:top w:w="100" w:type="dxa"/>
              <w:left w:w="108" w:type="dxa"/>
              <w:bottom w:w="100" w:type="dxa"/>
              <w:right w:w="108" w:type="dxa"/>
            </w:tcMar>
          </w:tcPr>
          <w:p w:rsidR="00716318" w:rsidRDefault="00716318">
            <w:pPr>
              <w:spacing w:before="120" w:after="120" w:line="360" w:lineRule="auto"/>
            </w:pPr>
          </w:p>
        </w:tc>
        <w:tc>
          <w:tcPr>
            <w:tcW w:w="1890" w:type="dxa"/>
            <w:gridSpan w:val="2"/>
            <w:tcMar>
              <w:top w:w="100" w:type="dxa"/>
              <w:left w:w="108" w:type="dxa"/>
              <w:bottom w:w="100" w:type="dxa"/>
              <w:right w:w="108" w:type="dxa"/>
            </w:tcMar>
          </w:tcPr>
          <w:p w:rsidR="00716318" w:rsidRDefault="00716318">
            <w:pPr>
              <w:spacing w:before="120" w:after="120" w:line="360" w:lineRule="auto"/>
            </w:pPr>
          </w:p>
        </w:tc>
      </w:tr>
    </w:tbl>
    <w:p w:rsidR="0018307A" w:rsidRDefault="0018307A"/>
    <w:sectPr w:rsidR="0018307A" w:rsidSect="001C105B">
      <w:headerReference w:type="default" r:id="rId13"/>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F93" w:rsidRDefault="00200F93">
      <w:pPr>
        <w:spacing w:after="0" w:line="240" w:lineRule="auto"/>
      </w:pPr>
      <w:r>
        <w:separator/>
      </w:r>
    </w:p>
  </w:endnote>
  <w:endnote w:type="continuationSeparator" w:id="0">
    <w:p w:rsidR="00200F93" w:rsidRDefault="0020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F93" w:rsidRDefault="00200F93">
      <w:pPr>
        <w:spacing w:after="0" w:line="240" w:lineRule="auto"/>
      </w:pPr>
      <w:r>
        <w:separator/>
      </w:r>
    </w:p>
  </w:footnote>
  <w:footnote w:type="continuationSeparator" w:id="0">
    <w:p w:rsidR="00200F93" w:rsidRDefault="00200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07A" w:rsidRDefault="006F07C9">
    <w:pPr>
      <w:tabs>
        <w:tab w:val="center" w:pos="4680"/>
        <w:tab w:val="right" w:pos="9360"/>
      </w:tabs>
      <w:jc w:val="right"/>
    </w:pPr>
    <w:r>
      <w:rPr>
        <w:rFonts w:ascii="Arial" w:eastAsia="Arial" w:hAnsi="Arial" w:cs="Arial"/>
        <w:sz w:val="24"/>
      </w:rPr>
      <w:t xml:space="preserve">Lanning &amp; Nur-tegin, </w:t>
    </w:r>
    <w:r w:rsidR="001C105B">
      <w:rPr>
        <w:rFonts w:ascii="Arial" w:eastAsia="Arial" w:hAnsi="Arial" w:cs="Arial"/>
        <w:sz w:val="24"/>
      </w:rPr>
      <w:t>Fall</w:t>
    </w:r>
    <w:r>
      <w:rPr>
        <w:rFonts w:ascii="Arial" w:eastAsia="Arial" w:hAnsi="Arial" w:cs="Arial"/>
        <w:sz w:val="24"/>
      </w:rPr>
      <w:t xml:space="preserve"> 201</w:t>
    </w:r>
    <w:r w:rsidR="001C105B">
      <w:rPr>
        <w:rFonts w:ascii="Arial" w:eastAsia="Arial" w:hAnsi="Arial" w:cs="Arial"/>
        <w:sz w:val="24"/>
      </w:rPr>
      <w:t>5</w:t>
    </w:r>
    <w:r>
      <w:rPr>
        <w:rFonts w:ascii="Arial" w:eastAsia="Arial" w:hAnsi="Arial" w:cs="Arial"/>
        <w:sz w:val="24"/>
      </w:rPr>
      <w:t xml:space="preserve"> - </w:t>
    </w:r>
    <w:r>
      <w:fldChar w:fldCharType="begin"/>
    </w:r>
    <w:r>
      <w:instrText>PAGE</w:instrText>
    </w:r>
    <w:r>
      <w:fldChar w:fldCharType="separate"/>
    </w:r>
    <w:r w:rsidR="00D55D0C">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7A"/>
    <w:rsid w:val="000167DD"/>
    <w:rsid w:val="000B175D"/>
    <w:rsid w:val="00122E3F"/>
    <w:rsid w:val="001602B4"/>
    <w:rsid w:val="0017028C"/>
    <w:rsid w:val="0018307A"/>
    <w:rsid w:val="001C105B"/>
    <w:rsid w:val="001F2D2A"/>
    <w:rsid w:val="00200F93"/>
    <w:rsid w:val="00221DD5"/>
    <w:rsid w:val="0025593C"/>
    <w:rsid w:val="00284E01"/>
    <w:rsid w:val="00306C43"/>
    <w:rsid w:val="00395673"/>
    <w:rsid w:val="003C051D"/>
    <w:rsid w:val="00462895"/>
    <w:rsid w:val="00564127"/>
    <w:rsid w:val="0061537E"/>
    <w:rsid w:val="006F07C9"/>
    <w:rsid w:val="00716318"/>
    <w:rsid w:val="007D6DCC"/>
    <w:rsid w:val="007E655A"/>
    <w:rsid w:val="0080798F"/>
    <w:rsid w:val="00861A59"/>
    <w:rsid w:val="008D4BAB"/>
    <w:rsid w:val="00BC08F8"/>
    <w:rsid w:val="00D55D0C"/>
    <w:rsid w:val="00EF62AB"/>
    <w:rsid w:val="00F629FF"/>
    <w:rsid w:val="00F8132D"/>
    <w:rsid w:val="00F82207"/>
    <w:rsid w:val="00F82E1A"/>
    <w:rsid w:val="00FA6D98"/>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34654F3-8714-457C-AFF4-EDE995DC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240" w:after="60"/>
      <w:outlineLvl w:val="0"/>
    </w:pPr>
    <w:rPr>
      <w:rFonts w:ascii="Cambria" w:eastAsia="Cambria" w:hAnsi="Cambria" w:cs="Cambria"/>
      <w:b/>
      <w:sz w:val="32"/>
    </w:rPr>
  </w:style>
  <w:style w:type="paragraph" w:styleId="Heading2">
    <w:name w:val="heading 2"/>
    <w:basedOn w:val="Normal"/>
    <w:next w:val="Normal"/>
    <w:pPr>
      <w:spacing w:after="0" w:line="240" w:lineRule="auto"/>
      <w:jc w:val="center"/>
      <w:outlineLvl w:val="1"/>
    </w:pPr>
    <w:rPr>
      <w:rFonts w:ascii="Arial" w:eastAsia="Arial" w:hAnsi="Arial" w:cs="Arial"/>
      <w:b/>
    </w:rPr>
  </w:style>
  <w:style w:type="paragraph" w:styleId="Heading3">
    <w:name w:val="heading 3"/>
    <w:basedOn w:val="Normal"/>
    <w:next w:val="Normal"/>
    <w:pPr>
      <w:spacing w:before="240" w:after="60"/>
      <w:outlineLvl w:val="2"/>
    </w:pPr>
    <w:rPr>
      <w:b/>
      <w:sz w:val="26"/>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81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32D"/>
    <w:rPr>
      <w:rFonts w:ascii="Tahoma" w:eastAsia="Calibri" w:hAnsi="Tahoma" w:cs="Tahoma"/>
      <w:color w:val="000000"/>
      <w:sz w:val="16"/>
      <w:szCs w:val="16"/>
    </w:rPr>
  </w:style>
  <w:style w:type="paragraph" w:styleId="Header">
    <w:name w:val="header"/>
    <w:basedOn w:val="Normal"/>
    <w:link w:val="HeaderChar"/>
    <w:uiPriority w:val="99"/>
    <w:unhideWhenUsed/>
    <w:rsid w:val="001C1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5B"/>
    <w:rPr>
      <w:rFonts w:ascii="Calibri" w:eastAsia="Calibri" w:hAnsi="Calibri" w:cs="Calibri"/>
      <w:color w:val="000000"/>
    </w:rPr>
  </w:style>
  <w:style w:type="paragraph" w:styleId="Footer">
    <w:name w:val="footer"/>
    <w:basedOn w:val="Normal"/>
    <w:link w:val="FooterChar"/>
    <w:uiPriority w:val="99"/>
    <w:unhideWhenUsed/>
    <w:rsid w:val="001C1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5B"/>
    <w:rPr>
      <w:rFonts w:ascii="Calibri" w:eastAsia="Calibri" w:hAnsi="Calibri" w:cs="Calibri"/>
      <w:color w:val="000000"/>
    </w:rPr>
  </w:style>
  <w:style w:type="character" w:styleId="Hyperlink">
    <w:name w:val="Hyperlink"/>
    <w:basedOn w:val="DefaultParagraphFont"/>
    <w:uiPriority w:val="99"/>
    <w:unhideWhenUsed/>
    <w:rsid w:val="00170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divdept/honcol/academics_honor_code.ht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jstor.org/stable/17004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fau.edu/divdept/honcol/academics_honor_code.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fau.edu/divdept/honcol/students/honorcode.html" TargetMode="External"/><Relationship Id="rId4" Type="http://schemas.openxmlformats.org/officeDocument/2006/relationships/footnotes" Target="footnotes.xml"/><Relationship Id="rId9" Type="http://schemas.openxmlformats.org/officeDocument/2006/relationships/hyperlink" Target="http://www.fau.edu/regulations/chapter4/4.001_Code_of_Academic_Integrit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Syllabus for 2014.docx</vt:lpstr>
    </vt:vector>
  </TitlesOfParts>
  <Company>Florida Atlantic University</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2014.docx</dc:title>
  <dc:creator>Kanybek Nur-tegin</dc:creator>
  <cp:lastModifiedBy>Maria Jennings</cp:lastModifiedBy>
  <cp:revision>2</cp:revision>
  <cp:lastPrinted>2014-01-06T15:11:00Z</cp:lastPrinted>
  <dcterms:created xsi:type="dcterms:W3CDTF">2016-09-06T17:15:00Z</dcterms:created>
  <dcterms:modified xsi:type="dcterms:W3CDTF">2016-09-06T17:15:00Z</dcterms:modified>
</cp:coreProperties>
</file>