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2F" w:rsidRPr="009E20F3" w:rsidRDefault="001D2356" w:rsidP="001D2356">
      <w:pPr>
        <w:rPr>
          <w:b/>
          <w:color w:val="000000" w:themeColor="text1"/>
          <w:sz w:val="52"/>
          <w:szCs w:val="52"/>
        </w:rPr>
      </w:pPr>
      <w:r w:rsidRPr="009E20F3">
        <w:rPr>
          <w:b/>
          <w:color w:val="000000" w:themeColor="text1"/>
          <w:sz w:val="52"/>
          <w:szCs w:val="52"/>
        </w:rPr>
        <w:t>Syllabus</w:t>
      </w:r>
    </w:p>
    <w:p w:rsidR="0034082F" w:rsidRPr="009E20F3" w:rsidRDefault="0034082F" w:rsidP="0034082F">
      <w:pPr>
        <w:rPr>
          <w:color w:val="000000" w:themeColor="text1"/>
        </w:rPr>
      </w:pPr>
    </w:p>
    <w:p w:rsidR="002A7C65" w:rsidRPr="009E20F3" w:rsidRDefault="0034082F" w:rsidP="001D2356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</w:t>
      </w:r>
      <w:r w:rsidR="001D2356" w:rsidRPr="009E20F3">
        <w:rPr>
          <w:b/>
          <w:color w:val="000000" w:themeColor="text1"/>
        </w:rPr>
        <w:t>Name</w:t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    </w:t>
      </w:r>
      <w:r w:rsidR="002A7C65" w:rsidRPr="009E20F3">
        <w:rPr>
          <w:b/>
          <w:color w:val="000000" w:themeColor="text1"/>
        </w:rPr>
        <w:t>Course Number</w:t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</w:t>
      </w:r>
      <w:r w:rsidR="002A7C65" w:rsidRPr="009E20F3">
        <w:rPr>
          <w:b/>
          <w:color w:val="000000" w:themeColor="text1"/>
        </w:rPr>
        <w:t>Credit Hours</w:t>
      </w:r>
      <w:r w:rsidR="002A7C65" w:rsidRPr="009E20F3">
        <w:rPr>
          <w:b/>
          <w:color w:val="000000" w:themeColor="text1"/>
        </w:rPr>
        <w:tab/>
        <w:t xml:space="preserve">         </w:t>
      </w:r>
    </w:p>
    <w:p w:rsidR="002A7C65" w:rsidRPr="009E20F3" w:rsidRDefault="002A7C65" w:rsidP="002A7C65">
      <w:pPr>
        <w:ind w:left="720"/>
        <w:rPr>
          <w:b/>
          <w:color w:val="000000" w:themeColor="text1"/>
        </w:rPr>
      </w:pPr>
    </w:p>
    <w:p w:rsidR="0034082F" w:rsidRPr="009E20F3" w:rsidRDefault="000B2625" w:rsidP="002A7C65">
      <w:pPr>
        <w:ind w:left="720"/>
        <w:rPr>
          <w:b/>
          <w:color w:val="000000" w:themeColor="text1"/>
        </w:rPr>
      </w:pPr>
      <w:r>
        <w:rPr>
          <w:b/>
          <w:color w:val="000000" w:themeColor="text1"/>
          <w:lang w:eastAsia="zh-CN"/>
        </w:rPr>
        <w:t>Applied Statistics 1 Lab</w:t>
      </w:r>
      <w:r w:rsidR="00002931" w:rsidRPr="009E20F3">
        <w:rPr>
          <w:b/>
          <w:color w:val="000000" w:themeColor="text1"/>
        </w:rPr>
        <w:t xml:space="preserve">     </w:t>
      </w:r>
      <w:r w:rsidR="009F31B2">
        <w:rPr>
          <w:b/>
          <w:color w:val="000000" w:themeColor="text1"/>
        </w:rPr>
        <w:t xml:space="preserve">                                   </w:t>
      </w:r>
      <w:r w:rsidR="0044429F" w:rsidRPr="009E20F3">
        <w:rPr>
          <w:b/>
          <w:color w:val="000000" w:themeColor="text1"/>
        </w:rPr>
        <w:t>STA</w:t>
      </w:r>
      <w:r>
        <w:rPr>
          <w:b/>
          <w:color w:val="000000" w:themeColor="text1"/>
        </w:rPr>
        <w:t xml:space="preserve"> 4202L</w:t>
      </w:r>
      <w:r w:rsidR="002A7C65" w:rsidRPr="009E20F3">
        <w:rPr>
          <w:b/>
          <w:color w:val="000000" w:themeColor="text1"/>
        </w:rPr>
        <w:tab/>
      </w:r>
      <w:r w:rsidR="002A7C65" w:rsidRPr="009E20F3">
        <w:rPr>
          <w:b/>
          <w:color w:val="000000" w:themeColor="text1"/>
        </w:rPr>
        <w:tab/>
      </w:r>
      <w:r w:rsidR="00002931" w:rsidRPr="009E20F3">
        <w:rPr>
          <w:b/>
          <w:color w:val="000000" w:themeColor="text1"/>
        </w:rPr>
        <w:t xml:space="preserve">          </w:t>
      </w:r>
      <w:r>
        <w:rPr>
          <w:b/>
          <w:color w:val="000000" w:themeColor="text1"/>
        </w:rPr>
        <w:t>1</w:t>
      </w:r>
    </w:p>
    <w:p w:rsidR="0034082F" w:rsidRPr="009E20F3" w:rsidRDefault="0034082F" w:rsidP="0034082F">
      <w:pPr>
        <w:ind w:left="36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prerequisites </w:t>
      </w:r>
    </w:p>
    <w:p w:rsidR="002A7C65" w:rsidRPr="009E20F3" w:rsidRDefault="002A7C65" w:rsidP="00C44EDE">
      <w:pPr>
        <w:ind w:left="720"/>
        <w:rPr>
          <w:b/>
          <w:color w:val="000000" w:themeColor="text1"/>
        </w:rPr>
      </w:pPr>
    </w:p>
    <w:p w:rsidR="0034082F" w:rsidRPr="000B2625" w:rsidRDefault="000B2625" w:rsidP="000B2625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0B2625">
        <w:rPr>
          <w:rFonts w:eastAsia="Times New Roman"/>
        </w:rPr>
        <w:t>STA 4442 (Minimum Grade C)</w:t>
      </w:r>
    </w:p>
    <w:p w:rsidR="00C44EDE" w:rsidRDefault="00C44EDE" w:rsidP="00C44EDE">
      <w:pPr>
        <w:ind w:left="720"/>
        <w:rPr>
          <w:b/>
          <w:color w:val="000000" w:themeColor="text1"/>
        </w:rPr>
      </w:pPr>
    </w:p>
    <w:p w:rsidR="000B2625" w:rsidRDefault="000B2625" w:rsidP="000B2625">
      <w:pPr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Course corequisite</w:t>
      </w:r>
      <w:r w:rsidRPr="009E20F3">
        <w:rPr>
          <w:b/>
          <w:color w:val="000000" w:themeColor="text1"/>
        </w:rPr>
        <w:t xml:space="preserve"> </w:t>
      </w:r>
    </w:p>
    <w:p w:rsidR="000B2625" w:rsidRDefault="000B2625" w:rsidP="000B2625">
      <w:pPr>
        <w:ind w:left="720"/>
        <w:rPr>
          <w:b/>
          <w:color w:val="000000" w:themeColor="text1"/>
        </w:rPr>
      </w:pPr>
    </w:p>
    <w:p w:rsidR="000B2625" w:rsidRPr="000B2625" w:rsidRDefault="000B2625" w:rsidP="000B2625">
      <w:pPr>
        <w:ind w:left="720"/>
        <w:rPr>
          <w:b/>
          <w:color w:val="000000" w:themeColor="text1"/>
        </w:rPr>
      </w:pPr>
      <w:r w:rsidRPr="000B2625">
        <w:rPr>
          <w:rFonts w:eastAsia="Times New Roman"/>
        </w:rPr>
        <w:t xml:space="preserve">STA 4234 </w:t>
      </w:r>
    </w:p>
    <w:p w:rsidR="000B2625" w:rsidRPr="009E20F3" w:rsidRDefault="000B2625" w:rsidP="00C44EDE">
      <w:pPr>
        <w:ind w:left="720"/>
        <w:rPr>
          <w:b/>
          <w:color w:val="000000" w:themeColor="text1"/>
        </w:rPr>
      </w:pPr>
    </w:p>
    <w:p w:rsidR="0034082F" w:rsidRPr="009E20F3" w:rsidRDefault="0034082F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Instructor</w:t>
      </w:r>
    </w:p>
    <w:p w:rsidR="002A7C65" w:rsidRPr="009E20F3" w:rsidRDefault="002A7C65" w:rsidP="00B7574E">
      <w:pPr>
        <w:ind w:firstLine="720"/>
        <w:rPr>
          <w:color w:val="000000" w:themeColor="text1"/>
        </w:rPr>
      </w:pP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Name:  </w:t>
      </w:r>
      <w:r w:rsidR="00C44EDE" w:rsidRPr="009E20F3">
        <w:rPr>
          <w:color w:val="000000" w:themeColor="text1"/>
        </w:rPr>
        <w:t>Lianfen Qian</w:t>
      </w:r>
      <w:r w:rsidR="00B7574E" w:rsidRPr="009E20F3">
        <w:rPr>
          <w:color w:val="000000" w:themeColor="text1"/>
        </w:rPr>
        <w:t>, Office SE 244</w:t>
      </w:r>
    </w:p>
    <w:p w:rsidR="0034082F" w:rsidRPr="009E20F3" w:rsidRDefault="00B7574E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 xml:space="preserve">Phone: </w:t>
      </w:r>
      <w:r w:rsidR="0034082F" w:rsidRPr="009E20F3">
        <w:rPr>
          <w:color w:val="000000" w:themeColor="text1"/>
        </w:rPr>
        <w:t xml:space="preserve"> (561) 297-</w:t>
      </w:r>
      <w:r w:rsidR="00C44EDE" w:rsidRPr="009E20F3">
        <w:rPr>
          <w:color w:val="000000" w:themeColor="text1"/>
        </w:rPr>
        <w:t>2486</w:t>
      </w:r>
      <w:r w:rsidR="0034082F" w:rsidRPr="009E20F3">
        <w:rPr>
          <w:color w:val="000000" w:themeColor="text1"/>
        </w:rPr>
        <w:t>, fax (561) 297-2436</w:t>
      </w:r>
    </w:p>
    <w:p w:rsidR="0034082F" w:rsidRPr="009E20F3" w:rsidRDefault="00B266A6" w:rsidP="00B7574E">
      <w:pPr>
        <w:ind w:firstLine="720"/>
        <w:rPr>
          <w:color w:val="000000" w:themeColor="text1"/>
        </w:rPr>
      </w:pPr>
      <w:r w:rsidRPr="009E20F3">
        <w:rPr>
          <w:color w:val="000000" w:themeColor="text1"/>
        </w:rPr>
        <w:t>E-mail</w:t>
      </w:r>
      <w:r w:rsidR="00C44EDE" w:rsidRPr="009E20F3">
        <w:rPr>
          <w:color w:val="000000" w:themeColor="text1"/>
        </w:rPr>
        <w:t xml:space="preserve">: </w:t>
      </w:r>
      <w:r w:rsidR="0034082F" w:rsidRPr="009E20F3">
        <w:rPr>
          <w:b/>
          <w:color w:val="000000" w:themeColor="text1"/>
        </w:rPr>
        <w:t xml:space="preserve"> </w:t>
      </w:r>
      <w:r w:rsidR="00C44EDE" w:rsidRPr="009E20F3">
        <w:rPr>
          <w:color w:val="000000" w:themeColor="text1"/>
        </w:rPr>
        <w:t>lqian</w:t>
      </w:r>
      <w:r w:rsidR="0034082F" w:rsidRPr="009E20F3">
        <w:rPr>
          <w:color w:val="000000" w:themeColor="text1"/>
        </w:rPr>
        <w:t>@fau.edu</w:t>
      </w:r>
    </w:p>
    <w:p w:rsidR="0034082F" w:rsidRPr="009E20F3" w:rsidRDefault="0034082F" w:rsidP="002A7C65">
      <w:pPr>
        <w:rPr>
          <w:color w:val="000000" w:themeColor="text1"/>
        </w:rPr>
      </w:pPr>
    </w:p>
    <w:p w:rsidR="007C3EC2" w:rsidRPr="009E20F3" w:rsidRDefault="007C3EC2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Course description</w:t>
      </w:r>
    </w:p>
    <w:p w:rsidR="00CF431D" w:rsidRPr="009E20F3" w:rsidRDefault="00CF431D" w:rsidP="00CF431D">
      <w:pPr>
        <w:pStyle w:val="ListParagraph"/>
        <w:jc w:val="both"/>
        <w:rPr>
          <w:color w:val="000000" w:themeColor="text1"/>
        </w:rPr>
      </w:pPr>
    </w:p>
    <w:p w:rsidR="00A41591" w:rsidRDefault="000B2625" w:rsidP="00A41591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A41591" w:rsidRPr="00A41591">
        <w:rPr>
          <w:rFonts w:eastAsia="Times New Roman"/>
        </w:rPr>
        <w:t xml:space="preserve">This is a first course in regression analysis. Regression analysis explores relationships </w:t>
      </w:r>
    </w:p>
    <w:p w:rsidR="00A41591" w:rsidRDefault="00A41591" w:rsidP="00A41591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A41591">
        <w:rPr>
          <w:rFonts w:eastAsia="Times New Roman"/>
        </w:rPr>
        <w:t xml:space="preserve">among variables by modeling a response. The course focuses on data analysis, statistical </w:t>
      </w:r>
    </w:p>
    <w:p w:rsidR="00A41591" w:rsidRPr="00A41591" w:rsidRDefault="00A41591" w:rsidP="00A41591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A41591">
        <w:rPr>
          <w:rFonts w:eastAsia="Times New Roman"/>
        </w:rPr>
        <w:t>graphs, and diagnostics via personal computing.</w:t>
      </w:r>
    </w:p>
    <w:p w:rsidR="00A41591" w:rsidRPr="00A41591" w:rsidRDefault="00A41591" w:rsidP="00A41591">
      <w:pPr>
        <w:ind w:left="1080"/>
        <w:rPr>
          <w:rFonts w:eastAsia="Times New Roman"/>
        </w:rPr>
      </w:pPr>
    </w:p>
    <w:p w:rsidR="00A41591" w:rsidRDefault="00A41591" w:rsidP="00A41591">
      <w:pPr>
        <w:ind w:left="720"/>
        <w:rPr>
          <w:b/>
          <w:color w:val="000000" w:themeColor="text1"/>
        </w:rPr>
      </w:pPr>
    </w:p>
    <w:p w:rsidR="007C3EC2" w:rsidRPr="009E20F3" w:rsidRDefault="0034082F" w:rsidP="007C3EC2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Course objectives </w:t>
      </w:r>
    </w:p>
    <w:p w:rsidR="000B2625" w:rsidRPr="001E5D6F" w:rsidRDefault="000B2625" w:rsidP="000B2625">
      <w:pPr>
        <w:pStyle w:val="ListParagraph"/>
      </w:pPr>
      <w:r w:rsidRPr="000A60E6">
        <w:t xml:space="preserve">The students </w:t>
      </w:r>
      <w:r>
        <w:t>are expected to gain a firm understanding of the basic principles necessary to apply regression model-building techniques in a wide variety of application environments.</w:t>
      </w:r>
      <w:r w:rsidRPr="000B2625">
        <w:rPr>
          <w:b/>
          <w:color w:val="800000"/>
        </w:rPr>
        <w:br/>
      </w:r>
    </w:p>
    <w:p w:rsidR="003B656A" w:rsidRPr="009E20F3" w:rsidRDefault="003B656A" w:rsidP="003B656A">
      <w:pPr>
        <w:ind w:left="720"/>
        <w:rPr>
          <w:b/>
          <w:color w:val="000000" w:themeColor="text1"/>
        </w:rPr>
      </w:pPr>
    </w:p>
    <w:p w:rsidR="005252C2" w:rsidRDefault="005252C2" w:rsidP="005252C2">
      <w:pPr>
        <w:ind w:left="720"/>
        <w:rPr>
          <w:b/>
          <w:color w:val="000000" w:themeColor="text1"/>
        </w:rPr>
      </w:pPr>
    </w:p>
    <w:p w:rsidR="0034082F" w:rsidRPr="009E20F3" w:rsidRDefault="00B7574E" w:rsidP="0034082F">
      <w:pPr>
        <w:numPr>
          <w:ilvl w:val="0"/>
          <w:numId w:val="1"/>
        </w:numPr>
        <w:rPr>
          <w:color w:val="000000" w:themeColor="text1"/>
        </w:rPr>
      </w:pPr>
      <w:r w:rsidRPr="009E20F3">
        <w:rPr>
          <w:b/>
          <w:color w:val="000000" w:themeColor="text1"/>
        </w:rPr>
        <w:t xml:space="preserve">Assessment Procedure and Grading </w:t>
      </w:r>
    </w:p>
    <w:p w:rsidR="003B656A" w:rsidRPr="009E20F3" w:rsidRDefault="003B656A" w:rsidP="003B656A">
      <w:pPr>
        <w:ind w:left="720"/>
        <w:rPr>
          <w:color w:val="000000" w:themeColor="text1"/>
        </w:rPr>
      </w:pPr>
    </w:p>
    <w:p w:rsidR="0034082F" w:rsidRPr="009E20F3" w:rsidRDefault="0034082F" w:rsidP="0034082F">
      <w:pPr>
        <w:ind w:left="720"/>
        <w:rPr>
          <w:color w:val="000000" w:themeColor="text1"/>
        </w:rPr>
      </w:pPr>
      <w:r w:rsidRPr="009E20F3">
        <w:rPr>
          <w:color w:val="000000" w:themeColor="text1"/>
        </w:rPr>
        <w:t xml:space="preserve">There will be </w:t>
      </w:r>
      <w:r w:rsidR="0044429F" w:rsidRPr="009E20F3">
        <w:rPr>
          <w:color w:val="000000" w:themeColor="text1"/>
        </w:rPr>
        <w:t>six take-home</w:t>
      </w:r>
      <w:r w:rsidRPr="009E20F3">
        <w:rPr>
          <w:color w:val="000000" w:themeColor="text1"/>
        </w:rPr>
        <w:t xml:space="preserve"> homew</w:t>
      </w:r>
      <w:r w:rsidR="00625698" w:rsidRPr="009E20F3">
        <w:rPr>
          <w:color w:val="000000" w:themeColor="text1"/>
        </w:rPr>
        <w:t xml:space="preserve">ork assignments accounting for </w:t>
      </w:r>
      <w:r w:rsidR="00AE7533">
        <w:rPr>
          <w:color w:val="000000" w:themeColor="text1"/>
          <w:lang w:eastAsia="zh-CN"/>
        </w:rPr>
        <w:t>3</w:t>
      </w:r>
      <w:r w:rsidRPr="009E20F3">
        <w:rPr>
          <w:color w:val="000000" w:themeColor="text1"/>
        </w:rPr>
        <w:t xml:space="preserve">0% of </w:t>
      </w:r>
      <w:r w:rsidR="00B7574E" w:rsidRPr="009E20F3">
        <w:rPr>
          <w:color w:val="000000" w:themeColor="text1"/>
        </w:rPr>
        <w:t>your</w:t>
      </w:r>
      <w:r w:rsidRPr="009E20F3">
        <w:rPr>
          <w:color w:val="000000" w:themeColor="text1"/>
        </w:rPr>
        <w:t xml:space="preserve"> cumulative performance, </w:t>
      </w:r>
      <w:r w:rsidR="0044429F" w:rsidRPr="009E20F3">
        <w:rPr>
          <w:color w:val="000000" w:themeColor="text1"/>
        </w:rPr>
        <w:t>four in-class quizzes accounting for 2</w:t>
      </w:r>
      <w:r w:rsidRPr="009E20F3">
        <w:rPr>
          <w:color w:val="000000" w:themeColor="text1"/>
        </w:rPr>
        <w:t>0% of</w:t>
      </w:r>
      <w:r w:rsidR="003B656A" w:rsidRPr="009E20F3">
        <w:rPr>
          <w:color w:val="000000" w:themeColor="text1"/>
        </w:rPr>
        <w:t xml:space="preserve"> your</w:t>
      </w:r>
      <w:r w:rsidRPr="009E20F3">
        <w:rPr>
          <w:color w:val="000000" w:themeColor="text1"/>
        </w:rPr>
        <w:t xml:space="preserve"> cumulativ</w:t>
      </w:r>
      <w:r w:rsidR="00625698" w:rsidRPr="009E20F3">
        <w:rPr>
          <w:color w:val="000000" w:themeColor="text1"/>
        </w:rPr>
        <w:t xml:space="preserve">e performance, </w:t>
      </w:r>
      <w:r w:rsidR="00AE7533">
        <w:rPr>
          <w:color w:val="000000" w:themeColor="text1"/>
        </w:rPr>
        <w:t xml:space="preserve">a midterm exam accounting for 20% of your cumulative performance, </w:t>
      </w:r>
      <w:r w:rsidR="00625698" w:rsidRPr="009E20F3">
        <w:rPr>
          <w:color w:val="000000" w:themeColor="text1"/>
        </w:rPr>
        <w:t>and a final project</w:t>
      </w:r>
      <w:r w:rsidRPr="009E20F3">
        <w:rPr>
          <w:color w:val="000000" w:themeColor="text1"/>
        </w:rPr>
        <w:t xml:space="preserve"> </w:t>
      </w:r>
      <w:r w:rsidR="0044429F" w:rsidRPr="009E20F3">
        <w:rPr>
          <w:color w:val="000000" w:themeColor="text1"/>
        </w:rPr>
        <w:t xml:space="preserve">that </w:t>
      </w:r>
      <w:r w:rsidR="00AE7533">
        <w:rPr>
          <w:color w:val="000000" w:themeColor="text1"/>
        </w:rPr>
        <w:t>accounts for 3</w:t>
      </w:r>
      <w:r w:rsidR="003B656A" w:rsidRPr="009E20F3">
        <w:rPr>
          <w:color w:val="000000" w:themeColor="text1"/>
        </w:rPr>
        <w:t>0% of your</w:t>
      </w:r>
      <w:r w:rsidRPr="009E20F3">
        <w:rPr>
          <w:color w:val="000000" w:themeColor="text1"/>
        </w:rPr>
        <w:t xml:space="preserve"> cumulative performance. </w:t>
      </w:r>
      <w:r w:rsidR="003B656A" w:rsidRPr="009E20F3">
        <w:rPr>
          <w:color w:val="000000" w:themeColor="text1"/>
        </w:rPr>
        <w:t xml:space="preserve">Your </w:t>
      </w:r>
      <w:r w:rsidRPr="009E20F3">
        <w:rPr>
          <w:color w:val="000000" w:themeColor="text1"/>
        </w:rPr>
        <w:t>overall grade i</w:t>
      </w:r>
      <w:r w:rsidR="003B656A" w:rsidRPr="009E20F3">
        <w:rPr>
          <w:color w:val="000000" w:themeColor="text1"/>
        </w:rPr>
        <w:t>n the course is derived from your</w:t>
      </w:r>
      <w:r w:rsidRPr="009E20F3">
        <w:rPr>
          <w:color w:val="000000" w:themeColor="text1"/>
        </w:rPr>
        <w:t xml:space="preserve"> cumulative performance according to the following table. </w:t>
      </w:r>
    </w:p>
    <w:p w:rsidR="003B656A" w:rsidRPr="009E20F3" w:rsidRDefault="003B656A" w:rsidP="0034082F">
      <w:pPr>
        <w:ind w:left="720"/>
        <w:rPr>
          <w:color w:val="000000" w:themeColor="text1"/>
        </w:rPr>
      </w:pPr>
    </w:p>
    <w:tbl>
      <w:tblPr>
        <w:tblW w:w="3600" w:type="dxa"/>
        <w:tblInd w:w="19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</w:tblGrid>
      <w:tr w:rsidR="009E20F3" w:rsidRPr="009E20F3" w:rsidTr="003B656A">
        <w:trPr>
          <w:trHeight w:val="29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b/>
                <w:bCs/>
                <w:color w:val="000000" w:themeColor="text1"/>
                <w:sz w:val="23"/>
                <w:szCs w:val="23"/>
              </w:rPr>
              <w:t xml:space="preserve">Cumulative Performance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b/>
                <w:bCs/>
                <w:color w:val="000000" w:themeColor="text1"/>
                <w:sz w:val="23"/>
                <w:szCs w:val="23"/>
              </w:rPr>
              <w:t xml:space="preserve">Grade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44429F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93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A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44429F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90% – 93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A−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87% – 90%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83% – 87%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&gt; 80% – 83%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B−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77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– 80%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73% – 77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lastRenderedPageBreak/>
              <w:t>&gt; 70% – 73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C−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67% – 7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D+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&gt; 63% – 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7%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 </w:t>
            </w:r>
          </w:p>
        </w:tc>
      </w:tr>
      <w:tr w:rsidR="009E20F3" w:rsidRPr="009E20F3" w:rsidTr="003B656A">
        <w:trPr>
          <w:trHeight w:val="16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≥ 60% – 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3%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D− </w:t>
            </w:r>
          </w:p>
        </w:tc>
      </w:tr>
      <w:tr w:rsidR="009E20F3" w:rsidRPr="009E20F3" w:rsidTr="003B656A">
        <w:trPr>
          <w:trHeight w:val="157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B07C73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>&lt;6</w:t>
            </w:r>
            <w:r w:rsidR="003B656A" w:rsidRPr="009E20F3">
              <w:rPr>
                <w:color w:val="000000" w:themeColor="text1"/>
                <w:sz w:val="23"/>
                <w:szCs w:val="23"/>
              </w:rPr>
              <w:t xml:space="preserve">0%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56A" w:rsidRPr="009E20F3" w:rsidRDefault="003B656A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9E20F3">
              <w:rPr>
                <w:color w:val="000000" w:themeColor="text1"/>
                <w:sz w:val="23"/>
                <w:szCs w:val="23"/>
              </w:rPr>
              <w:t xml:space="preserve">F </w:t>
            </w:r>
          </w:p>
        </w:tc>
      </w:tr>
    </w:tbl>
    <w:p w:rsidR="0034082F" w:rsidRPr="009E20F3" w:rsidRDefault="0034082F" w:rsidP="003B656A">
      <w:pPr>
        <w:rPr>
          <w:color w:val="000000" w:themeColor="text1"/>
        </w:rPr>
      </w:pPr>
    </w:p>
    <w:p w:rsidR="00EB3385" w:rsidRPr="009E20F3" w:rsidRDefault="00EB3385" w:rsidP="00EB3385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E20F3">
        <w:rPr>
          <w:b/>
          <w:bCs/>
          <w:iCs/>
          <w:color w:val="000000" w:themeColor="text1"/>
          <w:lang w:eastAsia="zh-CN"/>
        </w:rPr>
        <w:t xml:space="preserve">Incomplete Grades </w:t>
      </w:r>
    </w:p>
    <w:p w:rsidR="00EB3385" w:rsidRPr="009E20F3" w:rsidRDefault="00EB3385" w:rsidP="00EB3385">
      <w:pPr>
        <w:pStyle w:val="ListParagraph"/>
        <w:rPr>
          <w:color w:val="000000" w:themeColor="text1"/>
          <w:sz w:val="23"/>
          <w:szCs w:val="23"/>
          <w:lang w:eastAsia="zh-CN"/>
        </w:rPr>
      </w:pPr>
    </w:p>
    <w:p w:rsidR="00EB3385" w:rsidRPr="009E20F3" w:rsidRDefault="00EB3385" w:rsidP="00EB3385">
      <w:pPr>
        <w:pStyle w:val="ListParagraph"/>
        <w:rPr>
          <w:b/>
          <w:color w:val="000000" w:themeColor="text1"/>
        </w:rPr>
      </w:pPr>
      <w:r w:rsidRPr="009E20F3">
        <w:rPr>
          <w:color w:val="000000" w:themeColor="text1"/>
          <w:sz w:val="23"/>
          <w:szCs w:val="23"/>
          <w:lang w:eastAsia="zh-CN"/>
        </w:rPr>
        <w:t xml:space="preserve">A grade of </w:t>
      </w:r>
      <w:r w:rsidRPr="009E20F3">
        <w:rPr>
          <w:i/>
          <w:iCs/>
          <w:color w:val="000000" w:themeColor="text1"/>
          <w:sz w:val="23"/>
          <w:szCs w:val="23"/>
          <w:lang w:eastAsia="zh-CN"/>
        </w:rPr>
        <w:t xml:space="preserve">I </w:t>
      </w:r>
      <w:r w:rsidRPr="009E20F3">
        <w:rPr>
          <w:color w:val="000000" w:themeColor="text1"/>
          <w:sz w:val="23"/>
          <w:szCs w:val="23"/>
          <w:lang w:eastAsia="zh-CN"/>
        </w:rPr>
        <w:t xml:space="preserve">(incomplete) will only be given under certain conditions and in accordance with the academic policies and regulations put forward in FAU’s </w:t>
      </w:r>
      <w:r w:rsidRPr="009E20F3">
        <w:rPr>
          <w:i/>
          <w:iCs/>
          <w:color w:val="000000" w:themeColor="text1"/>
          <w:sz w:val="23"/>
          <w:szCs w:val="23"/>
          <w:lang w:eastAsia="zh-CN"/>
        </w:rPr>
        <w:t>University Catalog</w:t>
      </w:r>
      <w:r w:rsidRPr="009E20F3">
        <w:rPr>
          <w:color w:val="000000" w:themeColor="text1"/>
          <w:sz w:val="23"/>
          <w:szCs w:val="23"/>
          <w:lang w:eastAsia="zh-CN"/>
        </w:rPr>
        <w:t>. The student has to show exceptional circumstances why requirements cannot bet met. A request for an incomplete grade has to be made in writing with supporting documentation, where appropriate.</w:t>
      </w:r>
    </w:p>
    <w:p w:rsidR="00EB3385" w:rsidRPr="009E20F3" w:rsidRDefault="00EB3385" w:rsidP="003B656A">
      <w:pPr>
        <w:rPr>
          <w:color w:val="000000" w:themeColor="text1"/>
        </w:rPr>
      </w:pPr>
    </w:p>
    <w:p w:rsidR="0034082F" w:rsidRPr="009E20F3" w:rsidRDefault="003B656A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 xml:space="preserve">Makeup Tests and Extra </w:t>
      </w:r>
      <w:r w:rsidR="0034082F" w:rsidRPr="009E20F3">
        <w:rPr>
          <w:b/>
          <w:color w:val="000000" w:themeColor="text1"/>
        </w:rPr>
        <w:t xml:space="preserve"> </w:t>
      </w:r>
      <w:r w:rsidRPr="009E20F3">
        <w:rPr>
          <w:b/>
          <w:color w:val="000000" w:themeColor="text1"/>
        </w:rPr>
        <w:t>Credit</w:t>
      </w:r>
      <w:r w:rsidR="0034082F" w:rsidRPr="009E20F3">
        <w:rPr>
          <w:b/>
          <w:color w:val="000000" w:themeColor="text1"/>
        </w:rPr>
        <w:t xml:space="preserve"> </w:t>
      </w:r>
    </w:p>
    <w:p w:rsidR="003B656A" w:rsidRPr="009E20F3" w:rsidRDefault="003B656A" w:rsidP="003B656A">
      <w:pPr>
        <w:pStyle w:val="Default"/>
        <w:ind w:left="720"/>
        <w:jc w:val="both"/>
        <w:rPr>
          <w:color w:val="000000" w:themeColor="text1"/>
          <w:sz w:val="23"/>
          <w:szCs w:val="23"/>
        </w:rPr>
      </w:pPr>
    </w:p>
    <w:p w:rsidR="003B656A" w:rsidRPr="009E20F3" w:rsidRDefault="003B656A" w:rsidP="003B656A">
      <w:pPr>
        <w:pStyle w:val="Default"/>
        <w:ind w:left="720"/>
        <w:jc w:val="both"/>
        <w:rPr>
          <w:color w:val="000000" w:themeColor="text1"/>
          <w:sz w:val="23"/>
          <w:szCs w:val="23"/>
        </w:rPr>
      </w:pPr>
      <w:r w:rsidRPr="009E20F3">
        <w:rPr>
          <w:color w:val="000000" w:themeColor="text1"/>
          <w:sz w:val="23"/>
          <w:szCs w:val="23"/>
        </w:rPr>
        <w:t xml:space="preserve">If you cannot attend an exam or hand in a homework project in time due to a relevant reason like significant health problems or being involved in a major traffic accident, and you document this, then you can make up the respective assignment. </w:t>
      </w:r>
    </w:p>
    <w:p w:rsidR="003B656A" w:rsidRPr="009E20F3" w:rsidRDefault="003B656A" w:rsidP="003B656A">
      <w:pPr>
        <w:pStyle w:val="ListParagraph"/>
        <w:rPr>
          <w:color w:val="000000" w:themeColor="text1"/>
          <w:sz w:val="23"/>
          <w:szCs w:val="23"/>
        </w:rPr>
      </w:pPr>
    </w:p>
    <w:p w:rsidR="0034082F" w:rsidRPr="009E20F3" w:rsidRDefault="003B656A" w:rsidP="0034082F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color w:val="000000" w:themeColor="text1"/>
        </w:rPr>
        <w:t>Method of Instruction</w:t>
      </w:r>
    </w:p>
    <w:p w:rsidR="003B656A" w:rsidRPr="009E20F3" w:rsidRDefault="003B656A" w:rsidP="003B656A">
      <w:pPr>
        <w:ind w:left="720"/>
        <w:rPr>
          <w:color w:val="000000" w:themeColor="text1"/>
          <w:sz w:val="23"/>
          <w:szCs w:val="23"/>
        </w:rPr>
      </w:pPr>
    </w:p>
    <w:p w:rsidR="003B656A" w:rsidRPr="009E20F3" w:rsidRDefault="003B656A" w:rsidP="007C6281">
      <w:pPr>
        <w:ind w:left="720"/>
        <w:jc w:val="both"/>
        <w:rPr>
          <w:color w:val="000000" w:themeColor="text1"/>
        </w:rPr>
      </w:pPr>
      <w:r w:rsidRPr="009E20F3">
        <w:rPr>
          <w:color w:val="000000" w:themeColor="text1"/>
          <w:sz w:val="23"/>
          <w:szCs w:val="23"/>
        </w:rPr>
        <w:t>The course is conducted in lecture</w:t>
      </w:r>
      <w:r w:rsidR="007C6281" w:rsidRPr="009E20F3">
        <w:rPr>
          <w:color w:val="000000" w:themeColor="text1"/>
          <w:sz w:val="23"/>
          <w:szCs w:val="23"/>
        </w:rPr>
        <w:t>s</w:t>
      </w:r>
      <w:r w:rsidRPr="009E20F3">
        <w:rPr>
          <w:color w:val="000000" w:themeColor="text1"/>
          <w:sz w:val="23"/>
          <w:szCs w:val="23"/>
        </w:rPr>
        <w:t xml:space="preserve"> combined with lab session</w:t>
      </w:r>
      <w:r w:rsidR="007C6281" w:rsidRPr="009E20F3">
        <w:rPr>
          <w:color w:val="000000" w:themeColor="text1"/>
          <w:sz w:val="23"/>
          <w:szCs w:val="23"/>
        </w:rPr>
        <w:t>s</w:t>
      </w:r>
      <w:r w:rsidRPr="009E20F3">
        <w:rPr>
          <w:color w:val="000000" w:themeColor="text1"/>
          <w:sz w:val="23"/>
          <w:szCs w:val="23"/>
        </w:rPr>
        <w:t>. Assignments may require the use of a statistical software pac</w:t>
      </w:r>
      <w:r w:rsidR="00A41591">
        <w:rPr>
          <w:color w:val="000000" w:themeColor="text1"/>
          <w:sz w:val="23"/>
          <w:szCs w:val="23"/>
        </w:rPr>
        <w:t>kage</w:t>
      </w:r>
      <w:r w:rsidRPr="009E20F3">
        <w:rPr>
          <w:color w:val="000000" w:themeColor="text1"/>
          <w:sz w:val="23"/>
          <w:szCs w:val="23"/>
        </w:rPr>
        <w:t xml:space="preserve">. </w:t>
      </w:r>
    </w:p>
    <w:p w:rsidR="0034082F" w:rsidRPr="009E20F3" w:rsidRDefault="0034082F" w:rsidP="00D061A0">
      <w:pPr>
        <w:rPr>
          <w:b/>
          <w:color w:val="000000" w:themeColor="text1"/>
        </w:rPr>
      </w:pPr>
    </w:p>
    <w:p w:rsidR="00D061A0" w:rsidRPr="0060339B" w:rsidRDefault="00D061A0" w:rsidP="00D061A0">
      <w:pPr>
        <w:numPr>
          <w:ilvl w:val="0"/>
          <w:numId w:val="1"/>
        </w:numPr>
        <w:rPr>
          <w:rFonts w:eastAsia="Times New Roman"/>
          <w:b/>
        </w:rPr>
      </w:pPr>
      <w:r w:rsidRPr="0060339B">
        <w:rPr>
          <w:rFonts w:eastAsia="Times New Roman"/>
          <w:b/>
        </w:rPr>
        <w:t>Disability policy statement</w:t>
      </w:r>
    </w:p>
    <w:p w:rsidR="00D061A0" w:rsidRDefault="00D061A0" w:rsidP="00D061A0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60339B">
        <w:rPr>
          <w:rFonts w:eastAsia="Times New Roman"/>
        </w:rPr>
        <w:t xml:space="preserve">In compliance with the Americans with Disabilities Act (ADA), students who require </w:t>
      </w:r>
    </w:p>
    <w:p w:rsidR="00D061A0" w:rsidRDefault="00D061A0" w:rsidP="00D061A0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60339B">
        <w:rPr>
          <w:rFonts w:eastAsia="Times New Roman"/>
        </w:rPr>
        <w:t xml:space="preserve">special accommodation due to a disability to properly execute coursework must register with </w:t>
      </w:r>
    </w:p>
    <w:p w:rsidR="00D061A0" w:rsidRDefault="00D061A0" w:rsidP="00D061A0">
      <w:pPr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Pr="0060339B">
        <w:rPr>
          <w:rFonts w:eastAsia="Times New Roman"/>
        </w:rPr>
        <w:t xml:space="preserve">the </w:t>
      </w:r>
      <w:r>
        <w:rPr>
          <w:rFonts w:eastAsia="Times New Roman"/>
        </w:rPr>
        <w:t xml:space="preserve">Student Accessibility Services (SAS) and follow all SAS procedures. SAS has offices </w:t>
      </w:r>
    </w:p>
    <w:p w:rsidR="00D061A0" w:rsidRDefault="00D061A0" w:rsidP="00D061A0">
      <w:pPr>
        <w:rPr>
          <w:rFonts w:eastAsia="Times New Roman"/>
        </w:rPr>
      </w:pPr>
      <w:r>
        <w:rPr>
          <w:rFonts w:eastAsia="Times New Roman"/>
        </w:rPr>
        <w:t xml:space="preserve">            across three of FAU campuses-Boca Raton, Davie, and Jupiter-however disability services </w:t>
      </w:r>
    </w:p>
    <w:p w:rsidR="0034082F" w:rsidRPr="00D061A0" w:rsidRDefault="00D061A0" w:rsidP="00D061A0">
      <w:pPr>
        <w:rPr>
          <w:rFonts w:eastAsia="Times New Roman"/>
        </w:rPr>
      </w:pPr>
      <w:r>
        <w:rPr>
          <w:rFonts w:eastAsia="Times New Roman"/>
        </w:rPr>
        <w:t xml:space="preserve">            are available for students on all campuses.</w:t>
      </w:r>
    </w:p>
    <w:p w:rsidR="00EB3385" w:rsidRPr="009E20F3" w:rsidRDefault="00EB3385" w:rsidP="0034082F">
      <w:pPr>
        <w:ind w:left="1080"/>
        <w:rPr>
          <w:i/>
          <w:color w:val="000000" w:themeColor="text1"/>
        </w:rPr>
      </w:pPr>
    </w:p>
    <w:p w:rsidR="00BF3B9E" w:rsidRPr="009E20F3" w:rsidRDefault="00BF3B9E" w:rsidP="00BF3B9E">
      <w:pPr>
        <w:numPr>
          <w:ilvl w:val="0"/>
          <w:numId w:val="1"/>
        </w:numPr>
        <w:rPr>
          <w:b/>
          <w:color w:val="000000" w:themeColor="text1"/>
        </w:rPr>
      </w:pPr>
      <w:r w:rsidRPr="009E20F3">
        <w:rPr>
          <w:b/>
          <w:bCs/>
          <w:color w:val="000000" w:themeColor="text1"/>
        </w:rPr>
        <w:t>Honor Code policy statement</w:t>
      </w:r>
    </w:p>
    <w:p w:rsidR="00BF3B9E" w:rsidRDefault="00BF3B9E" w:rsidP="00BF3B9E">
      <w:pPr>
        <w:ind w:left="720"/>
        <w:rPr>
          <w:rFonts w:ascii="Calibri" w:hAnsi="Calibri" w:cs="Calibri"/>
          <w:color w:val="000000" w:themeColor="text1"/>
        </w:rPr>
      </w:pPr>
      <w:r w:rsidRPr="009E20F3">
        <w:rPr>
          <w:color w:val="000000" w:themeColor="text1"/>
        </w:rPr>
        <w:t xml:space="preserve">Students at Florida Atlantic University are expected to maintain the highest ethical standards.  Academic dishonesty, including cheating and plagiarism, is considered a serious breach of these ethical standards, because it interferes with the University mission to provide a high quality education in which no student enjoys an unfair advantage over any other.  Academic dishonesty is also destructive of the University community, which is grounded in a system of mutual trust and places high value on personal integrity and individual responsibility.  Harsh penalties are associated with academic dishonesty.  For more information, see University Regulation 4.001 at </w:t>
      </w:r>
      <w:hyperlink r:id="rId7" w:history="1">
        <w:r w:rsidRPr="009E20F3">
          <w:rPr>
            <w:rStyle w:val="Hyperlink"/>
            <w:rFonts w:ascii="Calibri" w:hAnsi="Calibri" w:cs="Calibri"/>
            <w:color w:val="000000" w:themeColor="text1"/>
          </w:rPr>
          <w:t>http://www.fau.edu/ctl/4.001_Code_of_Academic_Integrity.pdf</w:t>
        </w:r>
      </w:hyperlink>
      <w:r w:rsidRPr="009E20F3">
        <w:rPr>
          <w:rFonts w:ascii="Calibri" w:hAnsi="Calibri" w:cs="Calibri"/>
          <w:color w:val="000000" w:themeColor="text1"/>
        </w:rPr>
        <w:t> </w:t>
      </w:r>
    </w:p>
    <w:p w:rsidR="00D061A0" w:rsidRDefault="00D061A0" w:rsidP="00BF3B9E">
      <w:pPr>
        <w:ind w:left="720"/>
        <w:rPr>
          <w:rFonts w:ascii="Calibri" w:hAnsi="Calibri" w:cs="Calibri"/>
          <w:color w:val="000000" w:themeColor="text1"/>
        </w:rPr>
      </w:pPr>
    </w:p>
    <w:p w:rsidR="00D061A0" w:rsidRPr="009E20F3" w:rsidRDefault="00D061A0" w:rsidP="00BF3B9E">
      <w:pPr>
        <w:ind w:left="720"/>
        <w:rPr>
          <w:color w:val="000000" w:themeColor="text1"/>
          <w:sz w:val="23"/>
          <w:szCs w:val="23"/>
        </w:rPr>
      </w:pPr>
    </w:p>
    <w:p w:rsidR="0034082F" w:rsidRPr="009E20F3" w:rsidRDefault="0034082F" w:rsidP="0034082F">
      <w:pPr>
        <w:ind w:left="1080"/>
        <w:rPr>
          <w:color w:val="000000" w:themeColor="text1"/>
        </w:rPr>
      </w:pPr>
    </w:p>
    <w:p w:rsidR="00A41591" w:rsidRPr="00A41591" w:rsidRDefault="00A41591" w:rsidP="00A41591">
      <w:pPr>
        <w:numPr>
          <w:ilvl w:val="0"/>
          <w:numId w:val="1"/>
        </w:numPr>
        <w:rPr>
          <w:rFonts w:eastAsia="Times New Roman"/>
          <w:b/>
        </w:rPr>
      </w:pPr>
      <w:r w:rsidRPr="00A41591">
        <w:rPr>
          <w:rFonts w:eastAsia="Times New Roman"/>
          <w:b/>
        </w:rPr>
        <w:t xml:space="preserve">Required texts/readings </w:t>
      </w:r>
    </w:p>
    <w:p w:rsidR="00A41591" w:rsidRPr="00A41591" w:rsidRDefault="00A41591" w:rsidP="00A41591">
      <w:pPr>
        <w:rPr>
          <w:rFonts w:eastAsia="Times New Roman"/>
        </w:rPr>
      </w:pPr>
      <w:r w:rsidRPr="00A41591">
        <w:rPr>
          <w:rFonts w:eastAsia="Times New Roman"/>
          <w:b/>
          <w:bCs/>
          <w:i/>
          <w:iCs/>
        </w:rPr>
        <w:t xml:space="preserve">                 Introduction to Linear Regression Analysis</w:t>
      </w:r>
      <w:r w:rsidRPr="00A41591">
        <w:rPr>
          <w:rFonts w:eastAsia="Times New Roman"/>
        </w:rPr>
        <w:t xml:space="preserve">, 5th Edition, by Douglas C. </w:t>
      </w:r>
    </w:p>
    <w:p w:rsidR="00A41591" w:rsidRPr="00A41591" w:rsidRDefault="00A41591" w:rsidP="00A41591">
      <w:pPr>
        <w:rPr>
          <w:rFonts w:eastAsia="Times New Roman"/>
        </w:rPr>
      </w:pPr>
      <w:r w:rsidRPr="00A41591">
        <w:rPr>
          <w:rFonts w:eastAsia="Times New Roman"/>
        </w:rPr>
        <w:t xml:space="preserve">                 Montgomery, Elizabeth A. Peck, and G. Geoffrey Vining, John Wiley, 2012, </w:t>
      </w:r>
    </w:p>
    <w:p w:rsidR="00A41591" w:rsidRPr="00A41591" w:rsidRDefault="00A41591" w:rsidP="00A41591">
      <w:pPr>
        <w:rPr>
          <w:rFonts w:eastAsia="Times New Roman"/>
        </w:rPr>
      </w:pPr>
      <w:r w:rsidRPr="00A41591">
        <w:rPr>
          <w:rFonts w:eastAsia="Times New Roman"/>
        </w:rPr>
        <w:t xml:space="preserve">                 ISBN: 978-0-470-54281-1.</w:t>
      </w:r>
    </w:p>
    <w:p w:rsidR="00A41591" w:rsidRDefault="00A41591" w:rsidP="00A41591">
      <w:pPr>
        <w:shd w:val="solid" w:color="FFFFFF" w:fill="auto"/>
        <w:spacing w:after="280" w:afterAutospacing="1"/>
        <w:rPr>
          <w:rFonts w:eastAsia="Times New Roman"/>
          <w:b/>
          <w:color w:val="800000"/>
          <w:shd w:val="solid" w:color="FFFFFF" w:fill="auto"/>
          <w:lang w:eastAsia="ru-RU"/>
        </w:rPr>
      </w:pPr>
    </w:p>
    <w:p w:rsidR="00D061A0" w:rsidRPr="00A41591" w:rsidRDefault="00D061A0" w:rsidP="00A41591">
      <w:pPr>
        <w:shd w:val="solid" w:color="FFFFFF" w:fill="auto"/>
        <w:spacing w:after="280" w:afterAutospacing="1"/>
        <w:rPr>
          <w:rFonts w:eastAsia="Times New Roman"/>
          <w:b/>
          <w:color w:val="800000"/>
          <w:shd w:val="solid" w:color="FFFFFF" w:fill="auto"/>
          <w:lang w:eastAsia="ru-RU"/>
        </w:rPr>
      </w:pPr>
    </w:p>
    <w:p w:rsidR="00A41591" w:rsidRPr="00A41591" w:rsidRDefault="00A41591" w:rsidP="00A41591">
      <w:pPr>
        <w:rPr>
          <w:rFonts w:eastAsia="Times New Roman"/>
          <w:b/>
        </w:rPr>
      </w:pPr>
      <w:bookmarkStart w:id="0" w:name="_GoBack"/>
      <w:bookmarkEnd w:id="0"/>
    </w:p>
    <w:p w:rsidR="00A41591" w:rsidRPr="00A41591" w:rsidRDefault="00A41591" w:rsidP="00A41591">
      <w:pPr>
        <w:numPr>
          <w:ilvl w:val="0"/>
          <w:numId w:val="1"/>
        </w:numPr>
        <w:rPr>
          <w:rFonts w:eastAsia="Times New Roman"/>
          <w:b/>
        </w:rPr>
      </w:pPr>
      <w:r w:rsidRPr="00A41591">
        <w:rPr>
          <w:rFonts w:eastAsia="Times New Roman"/>
          <w:b/>
        </w:rPr>
        <w:t xml:space="preserve">Course topical outline </w:t>
      </w:r>
    </w:p>
    <w:tbl>
      <w:tblPr>
        <w:tblW w:w="9180" w:type="dxa"/>
        <w:tblCellSpacing w:w="15" w:type="dxa"/>
        <w:tblInd w:w="72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Week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Topics</w:t>
            </w:r>
          </w:p>
        </w:tc>
      </w:tr>
      <w:tr w:rsidR="00A41591" w:rsidRPr="00A41591" w:rsidTr="0061190D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1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Introduction to regression</w:t>
            </w:r>
          </w:p>
        </w:tc>
      </w:tr>
      <w:tr w:rsidR="00A41591" w:rsidRPr="00A41591" w:rsidTr="0061190D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2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Simple linear regression</w:t>
            </w:r>
          </w:p>
        </w:tc>
      </w:tr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3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Estimation by maximum likelihood</w:t>
            </w:r>
          </w:p>
        </w:tc>
      </w:tr>
      <w:tr w:rsidR="00A41591" w:rsidRPr="00A41591" w:rsidTr="0061190D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4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Multiple linear regression</w:t>
            </w:r>
          </w:p>
        </w:tc>
      </w:tr>
      <w:tr w:rsidR="00A41591" w:rsidRPr="00A41591" w:rsidTr="0061190D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5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Confidence intervals in multiple regression</w:t>
            </w:r>
          </w:p>
        </w:tc>
      </w:tr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6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Model adequacy checking</w:t>
            </w:r>
          </w:p>
        </w:tc>
      </w:tr>
      <w:tr w:rsidR="00A41591" w:rsidRPr="00A41591" w:rsidTr="0061190D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7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Transformations and weighting to correct model inadequacies</w:t>
            </w:r>
          </w:p>
        </w:tc>
      </w:tr>
      <w:tr w:rsidR="00A41591" w:rsidRPr="00A41591" w:rsidTr="0061190D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8 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Generalized and weighted least squares</w:t>
            </w:r>
          </w:p>
        </w:tc>
      </w:tr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 9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Diagnostics for leverage and influence</w:t>
            </w:r>
          </w:p>
        </w:tc>
      </w:tr>
      <w:tr w:rsidR="00A41591" w:rsidRPr="00A41591" w:rsidTr="0061190D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10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Polynomial regression models</w:t>
            </w:r>
          </w:p>
        </w:tc>
      </w:tr>
      <w:tr w:rsidR="00A41591" w:rsidRPr="00A41591" w:rsidTr="0061190D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11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Indicator variables</w:t>
            </w:r>
          </w:p>
        </w:tc>
      </w:tr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12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Multicollinearity</w:t>
            </w:r>
          </w:p>
        </w:tc>
      </w:tr>
      <w:tr w:rsidR="00A41591" w:rsidRPr="00A41591" w:rsidTr="0061190D">
        <w:trPr>
          <w:trHeight w:val="142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13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Variable selection and model building</w:t>
            </w:r>
          </w:p>
        </w:tc>
      </w:tr>
      <w:tr w:rsidR="00A41591" w:rsidRPr="00A41591" w:rsidTr="0061190D">
        <w:trPr>
          <w:trHeight w:val="306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14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Validation of regression models</w:t>
            </w:r>
          </w:p>
        </w:tc>
      </w:tr>
      <w:tr w:rsidR="00A41591" w:rsidRPr="00A41591" w:rsidTr="0061190D">
        <w:trPr>
          <w:trHeight w:val="143"/>
          <w:tblCellSpacing w:w="15" w:type="dxa"/>
        </w:trPr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 xml:space="preserve">     15</w:t>
            </w:r>
          </w:p>
        </w:tc>
        <w:tc>
          <w:tcPr>
            <w:tcW w:w="6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591" w:rsidRPr="00A41591" w:rsidRDefault="00A41591" w:rsidP="00A41591">
            <w:pPr>
              <w:rPr>
                <w:rFonts w:eastAsia="Times New Roman"/>
              </w:rPr>
            </w:pPr>
            <w:r w:rsidRPr="00A41591">
              <w:rPr>
                <w:rFonts w:eastAsia="Times New Roman"/>
              </w:rPr>
              <w:t>Introduction to nonlinear regression</w:t>
            </w:r>
          </w:p>
        </w:tc>
      </w:tr>
    </w:tbl>
    <w:p w:rsidR="00A41591" w:rsidRPr="00A41591" w:rsidRDefault="00A41591" w:rsidP="00A41591">
      <w:pPr>
        <w:shd w:val="solid" w:color="FFFFFF" w:fill="auto"/>
        <w:spacing w:after="280" w:afterAutospacing="1"/>
        <w:rPr>
          <w:rFonts w:eastAsia="Times New Roman"/>
          <w:b/>
          <w:color w:val="800000"/>
          <w:shd w:val="solid" w:color="FFFFFF" w:fill="auto"/>
          <w:lang w:eastAsia="ru-RU"/>
        </w:rPr>
      </w:pPr>
    </w:p>
    <w:p w:rsidR="00A41591" w:rsidRPr="00A41591" w:rsidRDefault="00A41591" w:rsidP="00A41591">
      <w:pPr>
        <w:rPr>
          <w:rFonts w:eastAsia="Times New Roman"/>
        </w:rPr>
      </w:pPr>
    </w:p>
    <w:p w:rsidR="0034082F" w:rsidRPr="009E20F3" w:rsidRDefault="0034082F" w:rsidP="0034082F">
      <w:pPr>
        <w:rPr>
          <w:color w:val="000000" w:themeColor="text1"/>
        </w:rPr>
      </w:pPr>
    </w:p>
    <w:sectPr w:rsidR="0034082F" w:rsidRPr="009E20F3" w:rsidSect="007928F7">
      <w:footerReference w:type="even" r:id="rId8"/>
      <w:footerReference w:type="default" r:id="rId9"/>
      <w:pgSz w:w="12240" w:h="15840"/>
      <w:pgMar w:top="72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8B1" w:rsidRDefault="008C68B1">
      <w:r>
        <w:separator/>
      </w:r>
    </w:p>
  </w:endnote>
  <w:endnote w:type="continuationSeparator" w:id="0">
    <w:p w:rsidR="008C68B1" w:rsidRDefault="008C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CD" w:rsidRDefault="00C04DCD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CD" w:rsidRDefault="00C04DCD" w:rsidP="004016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E80">
      <w:rPr>
        <w:rStyle w:val="PageNumber"/>
        <w:noProof/>
      </w:rPr>
      <w:t>3</w:t>
    </w:r>
    <w:r>
      <w:rPr>
        <w:rStyle w:val="PageNumber"/>
      </w:rPr>
      <w:fldChar w:fldCharType="end"/>
    </w:r>
  </w:p>
  <w:p w:rsidR="00C04DCD" w:rsidRDefault="00C04DCD" w:rsidP="00C55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8B1" w:rsidRDefault="008C68B1">
      <w:r>
        <w:separator/>
      </w:r>
    </w:p>
  </w:footnote>
  <w:footnote w:type="continuationSeparator" w:id="0">
    <w:p w:rsidR="008C68B1" w:rsidRDefault="008C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6120C"/>
    <w:multiLevelType w:val="hybridMultilevel"/>
    <w:tmpl w:val="71F2F4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362D6"/>
    <w:multiLevelType w:val="hybridMultilevel"/>
    <w:tmpl w:val="D8B8B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269E0"/>
    <w:multiLevelType w:val="hybridMultilevel"/>
    <w:tmpl w:val="298C6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15D87"/>
    <w:multiLevelType w:val="hybridMultilevel"/>
    <w:tmpl w:val="4224D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62E5D"/>
    <w:multiLevelType w:val="hybridMultilevel"/>
    <w:tmpl w:val="CDEC7A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80B22"/>
    <w:multiLevelType w:val="hybridMultilevel"/>
    <w:tmpl w:val="97C27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091641"/>
    <w:multiLevelType w:val="hybridMultilevel"/>
    <w:tmpl w:val="C4EC2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2E204B"/>
    <w:multiLevelType w:val="hybridMultilevel"/>
    <w:tmpl w:val="0DAA7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4391C"/>
    <w:multiLevelType w:val="hybridMultilevel"/>
    <w:tmpl w:val="60F627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D47E12"/>
    <w:multiLevelType w:val="hybridMultilevel"/>
    <w:tmpl w:val="B2AABA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7F0240"/>
    <w:multiLevelType w:val="hybridMultilevel"/>
    <w:tmpl w:val="1D62B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46491E"/>
    <w:multiLevelType w:val="hybridMultilevel"/>
    <w:tmpl w:val="889403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D2"/>
    <w:rsid w:val="00002931"/>
    <w:rsid w:val="00027876"/>
    <w:rsid w:val="000B1537"/>
    <w:rsid w:val="000B2625"/>
    <w:rsid w:val="000C0CA8"/>
    <w:rsid w:val="000F6D03"/>
    <w:rsid w:val="00134766"/>
    <w:rsid w:val="001833EF"/>
    <w:rsid w:val="001C78EB"/>
    <w:rsid w:val="001D2356"/>
    <w:rsid w:val="001F5797"/>
    <w:rsid w:val="002A7C65"/>
    <w:rsid w:val="002B7246"/>
    <w:rsid w:val="00312AC4"/>
    <w:rsid w:val="00326965"/>
    <w:rsid w:val="0034082F"/>
    <w:rsid w:val="00341A31"/>
    <w:rsid w:val="003451EA"/>
    <w:rsid w:val="003647DB"/>
    <w:rsid w:val="003B656A"/>
    <w:rsid w:val="003C0C42"/>
    <w:rsid w:val="003C6EA3"/>
    <w:rsid w:val="003E7459"/>
    <w:rsid w:val="0040164B"/>
    <w:rsid w:val="00420E83"/>
    <w:rsid w:val="0044429F"/>
    <w:rsid w:val="004608C8"/>
    <w:rsid w:val="00464E48"/>
    <w:rsid w:val="00464E9C"/>
    <w:rsid w:val="004B608B"/>
    <w:rsid w:val="004B6C86"/>
    <w:rsid w:val="00507D4A"/>
    <w:rsid w:val="005252C2"/>
    <w:rsid w:val="00534621"/>
    <w:rsid w:val="005C6AD2"/>
    <w:rsid w:val="005D15F1"/>
    <w:rsid w:val="006109CC"/>
    <w:rsid w:val="00625698"/>
    <w:rsid w:val="006864C2"/>
    <w:rsid w:val="006C5C47"/>
    <w:rsid w:val="006E5E9C"/>
    <w:rsid w:val="00714A2C"/>
    <w:rsid w:val="007928F7"/>
    <w:rsid w:val="007A31A4"/>
    <w:rsid w:val="007B278B"/>
    <w:rsid w:val="007C3EC2"/>
    <w:rsid w:val="007C503C"/>
    <w:rsid w:val="007C6281"/>
    <w:rsid w:val="008C68B1"/>
    <w:rsid w:val="008D3F18"/>
    <w:rsid w:val="008E793F"/>
    <w:rsid w:val="008F16BB"/>
    <w:rsid w:val="009E20F3"/>
    <w:rsid w:val="009F31B2"/>
    <w:rsid w:val="00A009E4"/>
    <w:rsid w:val="00A024CC"/>
    <w:rsid w:val="00A25AF4"/>
    <w:rsid w:val="00A41591"/>
    <w:rsid w:val="00A517FC"/>
    <w:rsid w:val="00AB62C6"/>
    <w:rsid w:val="00AC4360"/>
    <w:rsid w:val="00AE3944"/>
    <w:rsid w:val="00AE7533"/>
    <w:rsid w:val="00B07C73"/>
    <w:rsid w:val="00B07E80"/>
    <w:rsid w:val="00B266A6"/>
    <w:rsid w:val="00B479B6"/>
    <w:rsid w:val="00B6628C"/>
    <w:rsid w:val="00B71A21"/>
    <w:rsid w:val="00B7574E"/>
    <w:rsid w:val="00B916B6"/>
    <w:rsid w:val="00B94052"/>
    <w:rsid w:val="00BC3F0A"/>
    <w:rsid w:val="00BF3B9E"/>
    <w:rsid w:val="00BF6332"/>
    <w:rsid w:val="00C04DCD"/>
    <w:rsid w:val="00C140BD"/>
    <w:rsid w:val="00C14BA6"/>
    <w:rsid w:val="00C20A42"/>
    <w:rsid w:val="00C26961"/>
    <w:rsid w:val="00C33A5C"/>
    <w:rsid w:val="00C42CCE"/>
    <w:rsid w:val="00C44EDE"/>
    <w:rsid w:val="00C55F0F"/>
    <w:rsid w:val="00C5705C"/>
    <w:rsid w:val="00CE726A"/>
    <w:rsid w:val="00CF431D"/>
    <w:rsid w:val="00D033CF"/>
    <w:rsid w:val="00D061A0"/>
    <w:rsid w:val="00D43B8B"/>
    <w:rsid w:val="00DC48C8"/>
    <w:rsid w:val="00DC7E63"/>
    <w:rsid w:val="00DE0838"/>
    <w:rsid w:val="00DE113B"/>
    <w:rsid w:val="00DE7683"/>
    <w:rsid w:val="00E33273"/>
    <w:rsid w:val="00E81C24"/>
    <w:rsid w:val="00EB32D7"/>
    <w:rsid w:val="00EB3385"/>
    <w:rsid w:val="00EC05DD"/>
    <w:rsid w:val="00F03C98"/>
    <w:rsid w:val="00F467F6"/>
    <w:rsid w:val="00F769E1"/>
    <w:rsid w:val="00F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764431-B3F9-4358-BA4C-95CA161E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394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E113B"/>
    <w:rPr>
      <w:strike w:val="0"/>
      <w:dstrike w:val="0"/>
      <w:color w:val="0000FF"/>
      <w:u w:val="none"/>
      <w:effect w:val="none"/>
    </w:rPr>
  </w:style>
  <w:style w:type="character" w:customStyle="1" w:styleId="bodytext1">
    <w:name w:val="bodytext1"/>
    <w:basedOn w:val="DefaultParagraphFont"/>
    <w:rsid w:val="00DE113B"/>
    <w:rPr>
      <w:rFonts w:ascii="Arial" w:hAnsi="Arial" w:cs="Arial" w:hint="default"/>
      <w:color w:val="000000"/>
      <w:sz w:val="15"/>
      <w:szCs w:val="15"/>
    </w:rPr>
  </w:style>
  <w:style w:type="character" w:styleId="Strong">
    <w:name w:val="Strong"/>
    <w:basedOn w:val="DefaultParagraphFont"/>
    <w:qFormat/>
    <w:rsid w:val="00DE113B"/>
    <w:rPr>
      <w:b/>
      <w:bCs/>
    </w:rPr>
  </w:style>
  <w:style w:type="paragraph" w:styleId="Footer">
    <w:name w:val="footer"/>
    <w:basedOn w:val="Normal"/>
    <w:rsid w:val="00C55F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F0F"/>
  </w:style>
  <w:style w:type="paragraph" w:customStyle="1" w:styleId="Ul">
    <w:name w:val="Ul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customStyle="1" w:styleId="Li">
    <w:name w:val="Li"/>
    <w:basedOn w:val="Normal"/>
    <w:rsid w:val="0034082F"/>
    <w:pPr>
      <w:shd w:val="solid" w:color="FFFFFF" w:fill="auto"/>
    </w:pPr>
    <w:rPr>
      <w:color w:val="000000"/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34"/>
    <w:qFormat/>
    <w:rsid w:val="00B7574E"/>
    <w:pPr>
      <w:ind w:left="720"/>
      <w:contextualSpacing/>
    </w:pPr>
  </w:style>
  <w:style w:type="paragraph" w:customStyle="1" w:styleId="Default">
    <w:name w:val="Default"/>
    <w:rsid w:val="003B65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B3385"/>
  </w:style>
  <w:style w:type="character" w:customStyle="1" w:styleId="bylinepipe">
    <w:name w:val="bylinepipe"/>
    <w:basedOn w:val="DefaultParagraphFont"/>
    <w:rsid w:val="00EB3385"/>
  </w:style>
  <w:style w:type="character" w:customStyle="1" w:styleId="apple-converted-space">
    <w:name w:val="apple-converted-space"/>
    <w:basedOn w:val="DefaultParagraphFont"/>
    <w:rsid w:val="00EB3385"/>
  </w:style>
  <w:style w:type="character" w:styleId="FollowedHyperlink">
    <w:name w:val="FollowedHyperlink"/>
    <w:basedOn w:val="DefaultParagraphFont"/>
    <w:semiHidden/>
    <w:unhideWhenUsed/>
    <w:rsid w:val="00B07E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u.edu/ctl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Course Syllabi</vt:lpstr>
    </vt:vector>
  </TitlesOfParts>
  <Company>Florida Atlantic University</Company>
  <LinksUpToDate>false</LinksUpToDate>
  <CharactersWithSpaces>4626</CharactersWithSpaces>
  <SharedDoc>false</SharedDoc>
  <HLinks>
    <vt:vector size="12" baseType="variant">
      <vt:variant>
        <vt:i4>1048648</vt:i4>
      </vt:variant>
      <vt:variant>
        <vt:i4>3</vt:i4>
      </vt:variant>
      <vt:variant>
        <vt:i4>0</vt:i4>
      </vt:variant>
      <vt:variant>
        <vt:i4>5</vt:i4>
      </vt:variant>
      <vt:variant>
        <vt:lpwstr>http://www.fau.edu/regulations/chapter4/4.001_Honor_Code.pdf</vt:lpwstr>
      </vt:variant>
      <vt:variant>
        <vt:lpwstr/>
      </vt:variant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Course Syllabi</dc:title>
  <dc:creator>Lianfen Qian</dc:creator>
  <cp:lastModifiedBy>Maria Jennings</cp:lastModifiedBy>
  <cp:revision>2</cp:revision>
  <cp:lastPrinted>2014-10-10T16:59:00Z</cp:lastPrinted>
  <dcterms:created xsi:type="dcterms:W3CDTF">2016-09-03T13:24:00Z</dcterms:created>
  <dcterms:modified xsi:type="dcterms:W3CDTF">2016-09-03T13:24:00Z</dcterms:modified>
</cp:coreProperties>
</file>