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E34FD" w14:textId="55B8B65B" w:rsidR="005D3327" w:rsidRPr="007E758C" w:rsidRDefault="005D3327">
      <w:pPr>
        <w:rPr>
          <w:b/>
        </w:rPr>
      </w:pPr>
      <w:r w:rsidRPr="007E758C">
        <w:rPr>
          <w:b/>
        </w:rPr>
        <w:t xml:space="preserve">WAC Committee </w:t>
      </w:r>
      <w:r w:rsidR="007E758C">
        <w:rPr>
          <w:b/>
        </w:rPr>
        <w:t>M</w:t>
      </w:r>
      <w:r w:rsidRPr="007E758C">
        <w:rPr>
          <w:b/>
        </w:rPr>
        <w:t>eeting</w:t>
      </w:r>
      <w:r w:rsidR="007E758C">
        <w:rPr>
          <w:b/>
        </w:rPr>
        <w:t>:</w:t>
      </w:r>
      <w:r w:rsidRPr="007E758C">
        <w:rPr>
          <w:b/>
        </w:rPr>
        <w:t xml:space="preserve"> November 12, 2019</w:t>
      </w:r>
    </w:p>
    <w:p w14:paraId="39968F28" w14:textId="6B7DB21B" w:rsidR="005D3327" w:rsidRDefault="005D3327">
      <w:r>
        <w:t>In attendance: Jeff</w:t>
      </w:r>
      <w:r w:rsidR="00840D22">
        <w:t xml:space="preserve"> Galin</w:t>
      </w:r>
      <w:r>
        <w:t>, Claudia</w:t>
      </w:r>
      <w:r w:rsidR="00840D22">
        <w:t xml:space="preserve"> Amadori</w:t>
      </w:r>
      <w:r>
        <w:t>, Fred</w:t>
      </w:r>
      <w:r w:rsidR="00840D22">
        <w:t xml:space="preserve"> Bloetscher</w:t>
      </w:r>
      <w:r>
        <w:t>, Gail</w:t>
      </w:r>
      <w:r w:rsidR="00840D22">
        <w:t xml:space="preserve"> Chewing</w:t>
      </w:r>
      <w:r>
        <w:t>, Jason</w:t>
      </w:r>
      <w:r w:rsidR="00840D22">
        <w:t xml:space="preserve"> Sharples</w:t>
      </w:r>
      <w:r>
        <w:t>, Jamie</w:t>
      </w:r>
      <w:r w:rsidR="00840D22">
        <w:t xml:space="preserve"> Granger</w:t>
      </w:r>
      <w:r>
        <w:t>, Jaqueline</w:t>
      </w:r>
      <w:r w:rsidR="00840D22">
        <w:t xml:space="preserve"> Fewkes</w:t>
      </w:r>
      <w:r>
        <w:t>.</w:t>
      </w:r>
    </w:p>
    <w:p w14:paraId="2270D136" w14:textId="2B83653A" w:rsidR="005D3327" w:rsidRDefault="005D3327"/>
    <w:p w14:paraId="6ACF3769" w14:textId="69C27CBC" w:rsidR="002C6DD1" w:rsidRPr="00840D22" w:rsidRDefault="00840D22">
      <w:pPr>
        <w:rPr>
          <w:b/>
        </w:rPr>
      </w:pPr>
      <w:r w:rsidRPr="00840D22">
        <w:rPr>
          <w:b/>
        </w:rPr>
        <w:t>Jeff Galin: Review of WAC program</w:t>
      </w:r>
      <w:r w:rsidR="002C6DD1" w:rsidRPr="00840D22">
        <w:rPr>
          <w:b/>
        </w:rPr>
        <w:t xml:space="preserve"> </w:t>
      </w:r>
    </w:p>
    <w:p w14:paraId="72451A81" w14:textId="3D9C2166" w:rsidR="002D4F0C" w:rsidRDefault="002D4F0C">
      <w:r>
        <w:t>WAC program is doing well.</w:t>
      </w:r>
    </w:p>
    <w:p w14:paraId="29BA2092" w14:textId="01D6C730" w:rsidR="002D4F0C" w:rsidRDefault="00840D22">
      <w:r>
        <w:t xml:space="preserve">FAU celebrated </w:t>
      </w:r>
      <w:r w:rsidR="002D4F0C">
        <w:t xml:space="preserve">NDOW on Oct 16. </w:t>
      </w:r>
      <w:r>
        <w:t>We had a g</w:t>
      </w:r>
      <w:r w:rsidR="002D4F0C">
        <w:t xml:space="preserve">reat turnout for the Kossoff </w:t>
      </w:r>
      <w:r>
        <w:t>A</w:t>
      </w:r>
      <w:r w:rsidR="00422A1D">
        <w:t>ward</w:t>
      </w:r>
      <w:r>
        <w:t xml:space="preserve"> (Pen to Paper Contest)</w:t>
      </w:r>
      <w:r w:rsidR="00422A1D">
        <w:t xml:space="preserve">. </w:t>
      </w:r>
      <w:r>
        <w:t xml:space="preserve">We had a total of 135 entries (last year: 43). The donors </w:t>
      </w:r>
      <w:r w:rsidR="00801450">
        <w:t>were very happy</w:t>
      </w:r>
      <w:r>
        <w:t>, and attended the event</w:t>
      </w:r>
      <w:r w:rsidR="00801450">
        <w:t xml:space="preserve">. </w:t>
      </w:r>
      <w:r>
        <w:t>Both winners (grad and undergrad) read their essays at the evening event, which was well-attended. During the day we had tables in the breezeways and activities for NDOW</w:t>
      </w:r>
      <w:r w:rsidR="00C534A7">
        <w:t xml:space="preserve">. </w:t>
      </w:r>
      <w:r w:rsidR="00422A1D">
        <w:t xml:space="preserve"> </w:t>
      </w:r>
    </w:p>
    <w:p w14:paraId="33D6AD66" w14:textId="29EC988E" w:rsidR="00840D22" w:rsidRPr="00840D22" w:rsidRDefault="00C534A7">
      <w:pPr>
        <w:rPr>
          <w:b/>
        </w:rPr>
      </w:pPr>
      <w:r w:rsidRPr="00840D22">
        <w:rPr>
          <w:b/>
        </w:rPr>
        <w:t xml:space="preserve">Jeff </w:t>
      </w:r>
      <w:r w:rsidR="00840D22" w:rsidRPr="00840D22">
        <w:rPr>
          <w:b/>
        </w:rPr>
        <w:t xml:space="preserve">Galin: Sustainability Indicators </w:t>
      </w:r>
      <w:r w:rsidR="00FF0ADE">
        <w:rPr>
          <w:b/>
        </w:rPr>
        <w:t>(SIs)</w:t>
      </w:r>
    </w:p>
    <w:p w14:paraId="58248B23" w14:textId="2884D7EC" w:rsidR="00C534A7" w:rsidRDefault="00840D22">
      <w:r>
        <w:t xml:space="preserve">JG </w:t>
      </w:r>
      <w:r w:rsidR="00C534A7">
        <w:t xml:space="preserve">made some edits on the SI. </w:t>
      </w:r>
    </w:p>
    <w:p w14:paraId="47ECDE06" w14:textId="4C07E89F" w:rsidR="009E64C2" w:rsidRDefault="009E64C2">
      <w:r>
        <w:t>J</w:t>
      </w:r>
      <w:r w:rsidR="00B11D3C">
        <w:t>G</w:t>
      </w:r>
      <w:r>
        <w:t xml:space="preserve"> created a small representation</w:t>
      </w:r>
      <w:r w:rsidR="00B11D3C">
        <w:t xml:space="preserve">s (graphs) </w:t>
      </w:r>
      <w:r>
        <w:t xml:space="preserve">of </w:t>
      </w:r>
      <w:r w:rsidR="00B11D3C">
        <w:t xml:space="preserve">complete data </w:t>
      </w:r>
      <w:r>
        <w:t xml:space="preserve">we have </w:t>
      </w:r>
      <w:r w:rsidR="00B11D3C">
        <w:t>collected s</w:t>
      </w:r>
      <w:r>
        <w:t>o far</w:t>
      </w:r>
      <w:r w:rsidR="007E758C">
        <w:t xml:space="preserve"> and showed it to the committee</w:t>
      </w:r>
      <w:r>
        <w:t xml:space="preserve">. </w:t>
      </w:r>
    </w:p>
    <w:p w14:paraId="32275F80" w14:textId="53CFA646" w:rsidR="007E758C" w:rsidRDefault="00062E99">
      <w:r>
        <w:t xml:space="preserve">We have </w:t>
      </w:r>
      <w:r w:rsidR="00B11D3C">
        <w:t>only three</w:t>
      </w:r>
      <w:r>
        <w:t xml:space="preserve"> goals that we can </w:t>
      </w:r>
      <w:r w:rsidR="007E758C">
        <w:t xml:space="preserve">be </w:t>
      </w:r>
      <w:r w:rsidR="00B11D3C">
        <w:t>graph</w:t>
      </w:r>
      <w:r w:rsidR="007E758C">
        <w:t>ed</w:t>
      </w:r>
      <w:r>
        <w:t xml:space="preserve"> at th</w:t>
      </w:r>
      <w:r w:rsidR="007E758C">
        <w:t>is</w:t>
      </w:r>
      <w:r>
        <w:t xml:space="preserve"> time</w:t>
      </w:r>
      <w:r w:rsidR="00B11D3C">
        <w:t xml:space="preserve"> (see charts that JG presented at the meeting)</w:t>
      </w:r>
      <w:r>
        <w:t xml:space="preserve">. </w:t>
      </w:r>
      <w:r w:rsidR="007E758C">
        <w:t xml:space="preserve">We are still awaiting complete results from Faculty and Chairs surveys. </w:t>
      </w:r>
    </w:p>
    <w:p w14:paraId="7A70AD85" w14:textId="77777777" w:rsidR="00377131" w:rsidRDefault="00377131"/>
    <w:p w14:paraId="712D27F5" w14:textId="77777777" w:rsidR="002D3CC6" w:rsidRDefault="008601C8">
      <w:r>
        <w:t>So far administrative time and university support are sustainable</w:t>
      </w:r>
      <w:r w:rsidR="002D3CC6">
        <w:t>, which enables us to see the WAC program overall is in a good position to sustain at this time. Jeff demonstrated with radar charts showing traits for this overall goal.</w:t>
      </w:r>
    </w:p>
    <w:p w14:paraId="1F4782CC" w14:textId="570EE327" w:rsidR="00B11D3C" w:rsidRDefault="008601C8">
      <w:r>
        <w:t xml:space="preserve"> </w:t>
      </w:r>
    </w:p>
    <w:p w14:paraId="4ABA26E5" w14:textId="77777777" w:rsidR="00377131" w:rsidRDefault="002D3CC6">
      <w:r>
        <w:t xml:space="preserve">The WEC initiative is facing a few challenges: </w:t>
      </w:r>
    </w:p>
    <w:p w14:paraId="6B25F996" w14:textId="77777777" w:rsidR="00377131" w:rsidRDefault="002D3CC6" w:rsidP="00377131">
      <w:pPr>
        <w:pStyle w:val="ListParagraph"/>
        <w:numPr>
          <w:ilvl w:val="0"/>
          <w:numId w:val="1"/>
        </w:numPr>
      </w:pPr>
      <w:r>
        <w:t>The School of Urban and Regional Planning (</w:t>
      </w:r>
      <w:r w:rsidR="008601C8">
        <w:t>SURP</w:t>
      </w:r>
      <w:r>
        <w:t>)</w:t>
      </w:r>
      <w:r w:rsidR="008601C8">
        <w:t xml:space="preserve"> </w:t>
      </w:r>
      <w:r w:rsidR="00EF5B6F">
        <w:t xml:space="preserve">lost its liaison and decided as a department not to continue participating </w:t>
      </w:r>
      <w:r w:rsidR="008601C8">
        <w:t xml:space="preserve">in WEC. </w:t>
      </w:r>
      <w:r w:rsidR="006F5050">
        <w:t xml:space="preserve">They </w:t>
      </w:r>
      <w:r>
        <w:t>paid</w:t>
      </w:r>
      <w:r w:rsidR="006F5050">
        <w:t xml:space="preserve"> </w:t>
      </w:r>
      <w:r w:rsidR="00EF5B6F">
        <w:t xml:space="preserve">back the money that </w:t>
      </w:r>
      <w:proofErr w:type="gramStart"/>
      <w:r w:rsidR="00EF5B6F">
        <w:t>was allocated</w:t>
      </w:r>
      <w:proofErr w:type="gramEnd"/>
      <w:r w:rsidR="00EF5B6F">
        <w:t xml:space="preserve"> to their department for WEC implementation</w:t>
      </w:r>
      <w:r w:rsidR="006F5050">
        <w:t xml:space="preserve">. </w:t>
      </w:r>
    </w:p>
    <w:p w14:paraId="26B90BDE" w14:textId="77777777" w:rsidR="00377131" w:rsidRDefault="002D3CC6" w:rsidP="00377131">
      <w:pPr>
        <w:pStyle w:val="ListParagraph"/>
        <w:numPr>
          <w:ilvl w:val="0"/>
          <w:numId w:val="1"/>
        </w:numPr>
      </w:pPr>
      <w:r>
        <w:t xml:space="preserve">Ocean and Mechanical Engineering has been trying to work with two courses to increase student engagement in writing. There </w:t>
      </w:r>
      <w:r w:rsidR="00377131">
        <w:t>has</w:t>
      </w:r>
      <w:r>
        <w:t xml:space="preserve"> not been assessment data developed yet. Since the liaison has left the department to serve as Associate Dean, less faculty engagement has resulted.</w:t>
      </w:r>
      <w:r w:rsidR="00377131">
        <w:t xml:space="preserve"> </w:t>
      </w:r>
    </w:p>
    <w:p w14:paraId="7B117103" w14:textId="35BFEFAF" w:rsidR="00377131" w:rsidRDefault="00377131" w:rsidP="00377131">
      <w:pPr>
        <w:pStyle w:val="ListParagraph"/>
        <w:numPr>
          <w:ilvl w:val="0"/>
          <w:numId w:val="1"/>
        </w:numPr>
      </w:pPr>
      <w:proofErr w:type="gramStart"/>
      <w:r>
        <w:t>And</w:t>
      </w:r>
      <w:proofErr w:type="gramEnd"/>
      <w:r>
        <w:t>, as noted, previously, the WEC initiative was asked not to initiate a new department this year because of a tough funding year.</w:t>
      </w:r>
    </w:p>
    <w:p w14:paraId="1F5AED89" w14:textId="6917FDD8" w:rsidR="00377131" w:rsidRDefault="00377131" w:rsidP="00377131">
      <w:pPr>
        <w:pStyle w:val="ListParagraph"/>
        <w:numPr>
          <w:ilvl w:val="0"/>
          <w:numId w:val="1"/>
        </w:numPr>
      </w:pPr>
      <w:r>
        <w:t>The liaison for Sociology went on sabbatical</w:t>
      </w:r>
    </w:p>
    <w:p w14:paraId="587246D8" w14:textId="3CD28D95" w:rsidR="00377131" w:rsidRDefault="00377131" w:rsidP="00377131">
      <w:pPr>
        <w:pStyle w:val="ListParagraph"/>
        <w:numPr>
          <w:ilvl w:val="0"/>
          <w:numId w:val="1"/>
        </w:numPr>
      </w:pPr>
      <w:r>
        <w:t>The liaison for LLCL resigned</w:t>
      </w:r>
    </w:p>
    <w:p w14:paraId="3E342EAE" w14:textId="1B425996" w:rsidR="00377131" w:rsidRDefault="00FE426D">
      <w:r>
        <w:rPr>
          <w:noProof/>
        </w:rPr>
        <w:drawing>
          <wp:inline distT="0" distB="0" distL="0" distR="0" wp14:anchorId="5B737F12" wp14:editId="624E8608">
            <wp:extent cx="6743700" cy="3680460"/>
            <wp:effectExtent l="0" t="0" r="0" b="15240"/>
            <wp:docPr id="2" name="Chart 2">
              <a:extLst xmlns:a="http://schemas.openxmlformats.org/drawingml/2006/main">
                <a:ext uri="{FF2B5EF4-FFF2-40B4-BE49-F238E27FC236}">
                  <a16:creationId xmlns:a16="http://schemas.microsoft.com/office/drawing/2014/main" id="{A8A52FBA-D903-4669-9E66-E563C6223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4370328" w14:textId="77777777" w:rsidR="00FE426D" w:rsidRDefault="00FE426D"/>
    <w:p w14:paraId="73A253D1" w14:textId="305FBF34" w:rsidR="00377131" w:rsidRDefault="00377131">
      <w:r>
        <w:t>There are some signs of success as well:</w:t>
      </w:r>
    </w:p>
    <w:p w14:paraId="6A0FD875" w14:textId="756CBC5E" w:rsidR="00EF5B6F" w:rsidRDefault="00EF5B6F" w:rsidP="00377131">
      <w:pPr>
        <w:pStyle w:val="ListParagraph"/>
        <w:numPr>
          <w:ilvl w:val="0"/>
          <w:numId w:val="2"/>
        </w:numPr>
      </w:pPr>
      <w:r>
        <w:t>While the department of Languages, Linguistics, and Comparative Literatures had just finished the sixth year of their program, their linguistics faculty decided to participate as a separate entity. Since they had not participated in the larger departmental discussions, we invited them to participate as if they were a new department, but with a slightly lower budget.  With the return of SURP money, we can fund Linguistics at near typical levels.</w:t>
      </w:r>
    </w:p>
    <w:p w14:paraId="67835E27" w14:textId="2F6C1986" w:rsidR="00377131" w:rsidRDefault="00377131" w:rsidP="00377131">
      <w:pPr>
        <w:pStyle w:val="ListParagraph"/>
        <w:numPr>
          <w:ilvl w:val="0"/>
          <w:numId w:val="2"/>
        </w:numPr>
      </w:pPr>
      <w:r>
        <w:t>A new liaison for Sociology was appointed</w:t>
      </w:r>
    </w:p>
    <w:p w14:paraId="611BE3AC" w14:textId="69EB6747" w:rsidR="00377131" w:rsidRDefault="00377131" w:rsidP="00377131">
      <w:pPr>
        <w:pStyle w:val="ListParagraph"/>
        <w:numPr>
          <w:ilvl w:val="0"/>
          <w:numId w:val="2"/>
        </w:numPr>
      </w:pPr>
      <w:r>
        <w:t xml:space="preserve">A new liaison for LLCL </w:t>
      </w:r>
      <w:proofErr w:type="gramStart"/>
      <w:r>
        <w:t>was appointed</w:t>
      </w:r>
      <w:proofErr w:type="gramEnd"/>
      <w:r>
        <w:t xml:space="preserve"> and is leading the new focus on linguistics as well as following through with previous departmental commitments.</w:t>
      </w:r>
    </w:p>
    <w:p w14:paraId="4E2DD9EC" w14:textId="5A02FAA0" w:rsidR="00377131" w:rsidRDefault="00377131" w:rsidP="00377131">
      <w:pPr>
        <w:pStyle w:val="ListParagraph"/>
        <w:numPr>
          <w:ilvl w:val="0"/>
          <w:numId w:val="2"/>
        </w:numPr>
      </w:pPr>
      <w:r>
        <w:t>Money was recovered from (SURP) that could be reallocated to Linguistics faculty</w:t>
      </w:r>
    </w:p>
    <w:p w14:paraId="1AB613E5" w14:textId="77777777" w:rsidR="00377131" w:rsidRDefault="00377131"/>
    <w:p w14:paraId="4FFAAAE8" w14:textId="4447A536" w:rsidR="006D725D" w:rsidRDefault="002D3CC6">
      <w:r>
        <w:t xml:space="preserve"> </w:t>
      </w:r>
      <w:r w:rsidR="00B47E4C">
        <w:t xml:space="preserve"> All the other </w:t>
      </w:r>
      <w:r w:rsidR="00B11D3C">
        <w:t xml:space="preserve">WEC departments </w:t>
      </w:r>
      <w:r w:rsidR="00B47E4C">
        <w:t xml:space="preserve">are doing very well. </w:t>
      </w:r>
    </w:p>
    <w:p w14:paraId="15203DA5" w14:textId="77777777" w:rsidR="00B11D3C" w:rsidRDefault="00B11D3C"/>
    <w:p w14:paraId="10F57372" w14:textId="3CE590A2" w:rsidR="00567645" w:rsidRDefault="00567645"/>
    <w:p w14:paraId="345A6EFC" w14:textId="77777777" w:rsidR="00567645" w:rsidRDefault="00567645"/>
    <w:p w14:paraId="72BD8025" w14:textId="77777777" w:rsidR="00567645" w:rsidRDefault="00567645">
      <w:r>
        <w:rPr>
          <w:noProof/>
        </w:rPr>
        <w:drawing>
          <wp:inline distT="0" distB="0" distL="0" distR="0" wp14:anchorId="0DE1D546" wp14:editId="5429CA9B">
            <wp:extent cx="8162925" cy="4972050"/>
            <wp:effectExtent l="0" t="0" r="9525" b="0"/>
            <wp:docPr id="1" name="Chart 1">
              <a:extLst xmlns:a="http://schemas.openxmlformats.org/drawingml/2006/main">
                <a:ext uri="{FF2B5EF4-FFF2-40B4-BE49-F238E27FC236}">
                  <a16:creationId xmlns:a16="http://schemas.microsoft.com/office/drawing/2014/main" id="{A8A52FBA-D903-4669-9E66-E563C6223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FEBF96" w14:textId="77777777" w:rsidR="00567645" w:rsidRDefault="00567645"/>
    <w:p w14:paraId="33375F92" w14:textId="28D5563B" w:rsidR="00FE426D" w:rsidRDefault="00FE426D">
      <w:r>
        <w:t xml:space="preserve">Goal 3 is generally strong except for issues of assessment. </w:t>
      </w:r>
      <w:r w:rsidR="00B11D3C">
        <w:t xml:space="preserve"> </w:t>
      </w:r>
      <w:r>
        <w:t>W</w:t>
      </w:r>
      <w:r w:rsidR="006D725D">
        <w:t>e do not</w:t>
      </w:r>
      <w:r>
        <w:t xml:space="preserve"> yet</w:t>
      </w:r>
      <w:r w:rsidR="006D725D">
        <w:t xml:space="preserve"> have data on </w:t>
      </w:r>
      <w:r w:rsidR="001711FC">
        <w:t xml:space="preserve">WAC </w:t>
      </w:r>
      <w:r w:rsidR="006D725D">
        <w:t xml:space="preserve">benchmarking. </w:t>
      </w:r>
      <w:r w:rsidR="00567645">
        <w:t xml:space="preserve"> However, three of four departments have submitted benchmark goals. </w:t>
      </w:r>
      <w:r>
        <w:t xml:space="preserve">The fourth should be forthcoming. </w:t>
      </w:r>
      <w:r>
        <w:t xml:space="preserve">Typically, departments take the means of two years of data to establish baseline scores to benchmark each trait. Then they select one or more traits to target for improvement and increase those scores by at least .2 points on a 4-point scale to achieve statistical significance and account for differences among pools of students evaluated. Furthermore, departments set percentages of students they hope will meet or exceed these benchmark scores. If they are unsure how to set these parameters in a given year, they are set to 50% by default. Often departments set these percentages based on the importance of each trait to their curricular needs. The departments setting up benchmarks </w:t>
      </w:r>
      <w:r w:rsidR="00567645">
        <w:t xml:space="preserve">are ones that receive </w:t>
      </w:r>
      <w:r>
        <w:t>sufficient</w:t>
      </w:r>
      <w:r w:rsidR="00567645">
        <w:t xml:space="preserve"> data each year </w:t>
      </w:r>
      <w:r>
        <w:t xml:space="preserve">for specific courses </w:t>
      </w:r>
      <w:r w:rsidR="00567645">
        <w:t>to benefit from using the benchmarking system to improve targeted traits from the WAC rubric</w:t>
      </w:r>
      <w:r>
        <w:t xml:space="preserve">. Once targeted, they enhance </w:t>
      </w:r>
      <w:r w:rsidR="00567645">
        <w:t>teaching practices in their programs to improve</w:t>
      </w:r>
      <w:r>
        <w:t xml:space="preserve"> those traits</w:t>
      </w:r>
      <w:r w:rsidR="00567645">
        <w:t xml:space="preserve"> for upcoming years.  </w:t>
      </w:r>
    </w:p>
    <w:p w14:paraId="1535E73C" w14:textId="77777777" w:rsidR="00FE426D" w:rsidRDefault="00FE426D"/>
    <w:p w14:paraId="7BA35BB1" w14:textId="77BFA838" w:rsidR="00567645" w:rsidRDefault="00FF0ADE">
      <w:r>
        <w:t xml:space="preserve">The figure below represents an example of History’s attempt to focus on two traits for the upcoming year.  They set Question 2 (Organizational Frameworks) and Question 6 (implications and consequences) as their target traits for emphasis in HIS 3150. While the benchmark scores for all other traits were set by taking the mean of scores for the past two years of student papers evaluated from sections of this course, these two were increased to raise the bar for next term.  After pedagogical interventions this coming </w:t>
      </w:r>
      <w:proofErr w:type="gramStart"/>
      <w:r>
        <w:t>Spring</w:t>
      </w:r>
      <w:proofErr w:type="gramEnd"/>
      <w:r>
        <w:t>, they will reexamine benchmarks to see if the interventions have had a significant impact.</w:t>
      </w:r>
    </w:p>
    <w:p w14:paraId="6468E8D2" w14:textId="27B8BAF3" w:rsidR="00FF0ADE" w:rsidRDefault="00FF0ADE"/>
    <w:p w14:paraId="74E8BD03" w14:textId="1514DE2E" w:rsidR="00FF0ADE" w:rsidRDefault="00FF0ADE">
      <w:r>
        <w:rPr>
          <w:noProof/>
        </w:rPr>
        <w:drawing>
          <wp:inline distT="0" distB="0" distL="0" distR="0" wp14:anchorId="5C9C4348" wp14:editId="39A478D9">
            <wp:extent cx="8229600" cy="1396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229600" cy="1396365"/>
                    </a:xfrm>
                    <a:prstGeom prst="rect">
                      <a:avLst/>
                    </a:prstGeom>
                  </pic:spPr>
                </pic:pic>
              </a:graphicData>
            </a:graphic>
          </wp:inline>
        </w:drawing>
      </w:r>
    </w:p>
    <w:p w14:paraId="20F36988" w14:textId="77777777" w:rsidR="00567645" w:rsidRDefault="00567645"/>
    <w:p w14:paraId="6F68FFB5" w14:textId="77777777" w:rsidR="00FF0ADE" w:rsidRDefault="00FF0ADE"/>
    <w:p w14:paraId="56C616C4" w14:textId="54987140" w:rsidR="00B02544" w:rsidRDefault="00777A84" w:rsidP="00FF0ADE">
      <w:pPr>
        <w:pStyle w:val="ListParagraph"/>
        <w:numPr>
          <w:ilvl w:val="0"/>
          <w:numId w:val="3"/>
        </w:numPr>
      </w:pPr>
      <w:proofErr w:type="gramStart"/>
      <w:r>
        <w:t>Raters</w:t>
      </w:r>
      <w:proofErr w:type="gramEnd"/>
      <w:r>
        <w:t xml:space="preserve"> distribution is about 60% English</w:t>
      </w:r>
      <w:r w:rsidR="00FF0ADE">
        <w:t>, which is appropriate because of the outsized role English plays in the WAC curriculum</w:t>
      </w:r>
      <w:r>
        <w:t xml:space="preserve">. </w:t>
      </w:r>
      <w:r w:rsidR="001711FC">
        <w:t>Student p</w:t>
      </w:r>
      <w:r w:rsidR="00351883">
        <w:t xml:space="preserve">articipation </w:t>
      </w:r>
      <w:r w:rsidR="001711FC">
        <w:t xml:space="preserve">in WAC assessment </w:t>
      </w:r>
      <w:r w:rsidR="00351883">
        <w:t>has improved (65% return versus previous 40%)</w:t>
      </w:r>
      <w:r w:rsidR="001711FC">
        <w:t xml:space="preserve"> due to multiple reminders</w:t>
      </w:r>
      <w:r w:rsidR="00351883">
        <w:t xml:space="preserve">. </w:t>
      </w:r>
    </w:p>
    <w:p w14:paraId="58E147D1" w14:textId="064BC98E" w:rsidR="00DB2236" w:rsidRDefault="00DB2236" w:rsidP="00DB2236">
      <w:pPr>
        <w:pStyle w:val="ListParagraph"/>
      </w:pPr>
    </w:p>
    <w:p w14:paraId="247FF8DF" w14:textId="5C7B43E6" w:rsidR="00DB2236" w:rsidRDefault="00DB2236" w:rsidP="00DB2236">
      <w:pPr>
        <w:pStyle w:val="ListParagraph"/>
      </w:pPr>
    </w:p>
    <w:p w14:paraId="7FE8B3EE" w14:textId="1D4BA873" w:rsidR="00DB2236" w:rsidRDefault="00DB2236" w:rsidP="00DB2236">
      <w:pPr>
        <w:pStyle w:val="ListParagraph"/>
      </w:pPr>
    </w:p>
    <w:p w14:paraId="7A8A0855" w14:textId="778A3C85" w:rsidR="00DB2236" w:rsidRDefault="00DB2236" w:rsidP="00DB2236">
      <w:r>
        <w:t>Goal Five: Faculty and Student Recognition:</w:t>
      </w:r>
    </w:p>
    <w:p w14:paraId="0D40B068" w14:textId="05BC4373" w:rsidR="00DB2236" w:rsidRDefault="00DB2236" w:rsidP="00DB2236"/>
    <w:p w14:paraId="22745910" w14:textId="38E1F038" w:rsidR="00DB2236" w:rsidRDefault="00DB2236" w:rsidP="00DB2236">
      <w:r>
        <w:rPr>
          <w:noProof/>
        </w:rPr>
        <w:drawing>
          <wp:inline distT="0" distB="0" distL="0" distR="0" wp14:anchorId="4EC9718E" wp14:editId="6AC65FDB">
            <wp:extent cx="7772399" cy="3903344"/>
            <wp:effectExtent l="0" t="0" r="635" b="2540"/>
            <wp:docPr id="4" name="Chart 4">
              <a:extLst xmlns:a="http://schemas.openxmlformats.org/drawingml/2006/main">
                <a:ext uri="{FF2B5EF4-FFF2-40B4-BE49-F238E27FC236}">
                  <a16:creationId xmlns:a16="http://schemas.microsoft.com/office/drawing/2014/main" id="{A8A52FBA-D903-4669-9E66-E563C6223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14:paraId="5CE7FB21" w14:textId="77777777" w:rsidR="00DB2236" w:rsidRDefault="00DB2236" w:rsidP="00DB2236">
      <w:pPr>
        <w:pStyle w:val="ListParagraph"/>
      </w:pPr>
    </w:p>
    <w:p w14:paraId="06B4B95A" w14:textId="7287A567" w:rsidR="003F6893" w:rsidRDefault="00B02544" w:rsidP="00FF0ADE">
      <w:pPr>
        <w:pStyle w:val="ListParagraph"/>
        <w:numPr>
          <w:ilvl w:val="0"/>
          <w:numId w:val="3"/>
        </w:numPr>
      </w:pPr>
      <w:r>
        <w:t xml:space="preserve">Last year we did </w:t>
      </w:r>
      <w:r w:rsidR="00B11D3C">
        <w:t xml:space="preserve">very </w:t>
      </w:r>
      <w:r>
        <w:t xml:space="preserve">well </w:t>
      </w:r>
      <w:r w:rsidR="00B11D3C">
        <w:t>in recognizing</w:t>
      </w:r>
      <w:r>
        <w:t xml:space="preserve"> </w:t>
      </w:r>
      <w:r w:rsidR="001711FC">
        <w:t>f</w:t>
      </w:r>
      <w:r>
        <w:t xml:space="preserve">aculty. </w:t>
      </w:r>
      <w:r w:rsidR="00B11D3C">
        <w:t xml:space="preserve">We hosted a WEC Recognition Ceremony alongside the Student Publication Ceremony. During this event, five WEC faculty were recognized. </w:t>
      </w:r>
      <w:r w:rsidR="0092008B">
        <w:t>In the future, w</w:t>
      </w:r>
      <w:r>
        <w:t xml:space="preserve">e </w:t>
      </w:r>
      <w:r w:rsidR="0092008B">
        <w:t>need to</w:t>
      </w:r>
      <w:r>
        <w:t xml:space="preserve"> come up with different ways of </w:t>
      </w:r>
      <w:r w:rsidR="00B11D3C">
        <w:t>recognizing</w:t>
      </w:r>
      <w:r>
        <w:t xml:space="preserve"> faculty</w:t>
      </w:r>
      <w:r w:rsidR="00B11D3C">
        <w:t xml:space="preserve">, as the faculty who </w:t>
      </w:r>
      <w:proofErr w:type="gramStart"/>
      <w:r w:rsidR="00B11D3C">
        <w:t>have been recognized</w:t>
      </w:r>
      <w:proofErr w:type="gramEnd"/>
      <w:r w:rsidR="00B11D3C">
        <w:t xml:space="preserve"> in 2018 will probably not attend the same event</w:t>
      </w:r>
      <w:r>
        <w:t xml:space="preserve">. </w:t>
      </w:r>
      <w:r w:rsidR="0092008B">
        <w:t xml:space="preserve">A </w:t>
      </w:r>
      <w:proofErr w:type="gramStart"/>
      <w:r w:rsidR="0092008B">
        <w:t>long term</w:t>
      </w:r>
      <w:proofErr w:type="gramEnd"/>
      <w:r w:rsidR="0092008B">
        <w:t xml:space="preserve"> goal for our WAC program is to acknowledge efforts to teach WAC courses through recognition in the tenure and promotion process like OURI has established for undergraduate research.</w:t>
      </w:r>
    </w:p>
    <w:p w14:paraId="1153FDD5" w14:textId="269BCFEB" w:rsidR="00DC7C24" w:rsidRDefault="00DC7C24" w:rsidP="0092008B">
      <w:pPr>
        <w:pStyle w:val="ListParagraph"/>
      </w:pPr>
    </w:p>
    <w:p w14:paraId="3217B734" w14:textId="77777777" w:rsidR="00FF0ADE" w:rsidRDefault="00FF0ADE"/>
    <w:p w14:paraId="626874C5" w14:textId="5C54862D" w:rsidR="0092008B" w:rsidRDefault="0092008B">
      <w:r>
        <w:t xml:space="preserve">WAC web page: Changes </w:t>
      </w:r>
      <w:proofErr w:type="gramStart"/>
      <w:r>
        <w:t>were made</w:t>
      </w:r>
      <w:proofErr w:type="gramEnd"/>
      <w:r>
        <w:t xml:space="preserve"> by JG (Shown during the meeting).</w:t>
      </w:r>
    </w:p>
    <w:p w14:paraId="054DCA18" w14:textId="42842411" w:rsidR="00852898" w:rsidRDefault="00B11D3C">
      <w:r>
        <w:t>JG</w:t>
      </w:r>
      <w:r w:rsidR="00531435">
        <w:t xml:space="preserve"> describes changes to SI that </w:t>
      </w:r>
      <w:proofErr w:type="gramStart"/>
      <w:r w:rsidR="00531435">
        <w:t>have been made</w:t>
      </w:r>
      <w:proofErr w:type="gramEnd"/>
      <w:r w:rsidR="00531435">
        <w:t xml:space="preserve"> to the WAC website. </w:t>
      </w:r>
    </w:p>
    <w:p w14:paraId="5375D147" w14:textId="7F67B0C4" w:rsidR="00FF0ADE" w:rsidRPr="0092008B" w:rsidRDefault="00FF0ADE">
      <w:r>
        <w:lastRenderedPageBreak/>
        <w:t xml:space="preserve">This formative assessment process of using Sustainability Indicators </w:t>
      </w:r>
      <w:proofErr w:type="gramStart"/>
      <w:r>
        <w:t>was developed</w:t>
      </w:r>
      <w:proofErr w:type="gramEnd"/>
      <w:r>
        <w:t xml:space="preserve"> as part of a book that Jeff </w:t>
      </w:r>
      <w:r w:rsidR="0092008B">
        <w:t xml:space="preserve">and two colleagues wrote and published in March of 2018. Since the publication of that book and a follow-up article, several schools across the country are beginning to implement this same process. In addition, Jeff co-led an international WAC institute this past summer in Denver on building sustainable WAC programs, will help facilitate the same institute this coming summer, and will co-lead a follow-up workshop for graduates of the institutes at the International WAC conference. Finally, Jeff is a co-PI on a grant from the National Council of Teachers of English with his co-authors with representatives from six universities/colleges across the country that are working to implement the Whole Systems Approach advocated in the book, </w:t>
      </w:r>
      <w:r w:rsidR="0092008B">
        <w:rPr>
          <w:i/>
        </w:rPr>
        <w:t>Sustainable WAC: A Whole Systems Approach to Developing and Sustaining Writing Across the Curriculum Programs</w:t>
      </w:r>
      <w:r w:rsidR="0092008B">
        <w:t>. This consortium of programs will be presenting on their first year of collaboration at the upcoming IWAC conference this summer.</w:t>
      </w:r>
    </w:p>
    <w:p w14:paraId="61825517" w14:textId="77777777" w:rsidR="00FF0ADE" w:rsidRDefault="00FF0ADE"/>
    <w:p w14:paraId="2B80738D" w14:textId="041C3629" w:rsidR="00A55795" w:rsidRDefault="0092008B">
      <w:r>
        <w:t xml:space="preserve">In explain the SI charts to the </w:t>
      </w:r>
      <w:proofErr w:type="gramStart"/>
      <w:r>
        <w:t>committee,</w:t>
      </w:r>
      <w:proofErr w:type="gramEnd"/>
      <w:r>
        <w:t xml:space="preserve"> Jeff noted that some reviewers and institute participants asked why </w:t>
      </w:r>
      <w:r w:rsidR="00852898">
        <w:t>not us</w:t>
      </w:r>
      <w:r w:rsidR="009C7EB1">
        <w:t>e</w:t>
      </w:r>
      <w:r w:rsidR="00852898">
        <w:t xml:space="preserve"> bar </w:t>
      </w:r>
      <w:r w:rsidR="000B0F81">
        <w:t>graphs</w:t>
      </w:r>
      <w:r w:rsidR="009C7EB1">
        <w:t xml:space="preserve"> rather than the radar charts</w:t>
      </w:r>
      <w:r w:rsidR="000B0F81">
        <w:t>?</w:t>
      </w:r>
      <w:r w:rsidR="00852898">
        <w:t xml:space="preserve"> The concept of SI comes from ecology. </w:t>
      </w:r>
      <w:r w:rsidR="009C7EB1">
        <w:t xml:space="preserve">They </w:t>
      </w:r>
      <w:proofErr w:type="gramStart"/>
      <w:r w:rsidR="009C7EB1">
        <w:t>are typically used</w:t>
      </w:r>
      <w:proofErr w:type="gramEnd"/>
      <w:r w:rsidR="009C7EB1">
        <w:t xml:space="preserve"> to track indicator species in environments that are under heavy human use to </w:t>
      </w:r>
      <w:r w:rsidR="00852898">
        <w:t>show</w:t>
      </w:r>
      <w:r w:rsidR="009C7EB1">
        <w:t xml:space="preserve"> if the species are maintaining</w:t>
      </w:r>
      <w:r w:rsidR="00852898">
        <w:t xml:space="preserve"> </w:t>
      </w:r>
      <w:r w:rsidR="009C7EB1">
        <w:t>sustainable levels. The two circles in the charts show the Band of E</w:t>
      </w:r>
      <w:r w:rsidR="000B0F81">
        <w:t>quilibrium</w:t>
      </w:r>
      <w:r w:rsidR="00852898">
        <w:t xml:space="preserve"> </w:t>
      </w:r>
      <w:r w:rsidR="009C7EB1">
        <w:t xml:space="preserve">(donut shape) within acceptable sustainability boundaries.  Such charts work </w:t>
      </w:r>
      <w:r w:rsidR="00852898">
        <w:t>better</w:t>
      </w:r>
      <w:r w:rsidR="009C7EB1">
        <w:t xml:space="preserve"> than bar graphs to show how multiple traits together paint a picture of sustainability or not.  If more than one or two traits are on a border or outside sustainable range, then changes need to </w:t>
      </w:r>
      <w:proofErr w:type="gramStart"/>
      <w:r w:rsidR="009C7EB1">
        <w:t>be made</w:t>
      </w:r>
      <w:proofErr w:type="gramEnd"/>
      <w:r w:rsidR="009C7EB1">
        <w:t xml:space="preserve"> in the system to increase projected program longevity</w:t>
      </w:r>
      <w:r w:rsidR="00852898">
        <w:t xml:space="preserve">. </w:t>
      </w:r>
      <w:r w:rsidR="00B11D3C">
        <w:t>One</w:t>
      </w:r>
      <w:r w:rsidR="00CF6E5E">
        <w:t xml:space="preserve"> can also </w:t>
      </w:r>
      <w:r w:rsidR="009C7EB1">
        <w:t xml:space="preserve">cluster traits together to better </w:t>
      </w:r>
      <w:r w:rsidR="00CF6E5E">
        <w:t xml:space="preserve">reorganize </w:t>
      </w:r>
      <w:r w:rsidR="009C7EB1">
        <w:t xml:space="preserve">how related traits </w:t>
      </w:r>
      <w:proofErr w:type="gramStart"/>
      <w:r w:rsidR="009C7EB1">
        <w:t>are impacted</w:t>
      </w:r>
      <w:proofErr w:type="gramEnd"/>
      <w:r w:rsidR="009C7EB1">
        <w:t xml:space="preserve"> by each other</w:t>
      </w:r>
      <w:r w:rsidR="00CF6E5E">
        <w:t xml:space="preserve">. </w:t>
      </w:r>
      <w:r w:rsidR="009C7EB1">
        <w:t>By placing explanations of these practices on FAU’s website, with templates, and explanations, others working on this kind of analysis can more easily make use of this set of practices.</w:t>
      </w:r>
    </w:p>
    <w:p w14:paraId="1F75B688" w14:textId="77777777" w:rsidR="009C7EB1" w:rsidRDefault="009C7EB1"/>
    <w:p w14:paraId="0FAFB47D" w14:textId="6746F74F" w:rsidR="00CB71E2" w:rsidRDefault="009C7EB1">
      <w:r>
        <w:t xml:space="preserve">JG has also been involved in establishing the </w:t>
      </w:r>
      <w:r w:rsidR="00DB76B2">
        <w:t xml:space="preserve">Association of Writing </w:t>
      </w:r>
      <w:r w:rsidR="00DF4D9B">
        <w:t>across</w:t>
      </w:r>
      <w:r w:rsidR="00DB76B2">
        <w:t xml:space="preserve"> the Curriculum </w:t>
      </w:r>
      <w:r>
        <w:t xml:space="preserve">(AWAC) for the past several years. It </w:t>
      </w:r>
      <w:proofErr w:type="gramStart"/>
      <w:r>
        <w:t>was officially incorporated</w:t>
      </w:r>
      <w:proofErr w:type="gramEnd"/>
      <w:r>
        <w:t xml:space="preserve"> as a non-profit last year and currently </w:t>
      </w:r>
      <w:r w:rsidR="00131161">
        <w:t xml:space="preserve">has </w:t>
      </w:r>
      <w:proofErr w:type="spellStart"/>
      <w:r w:rsidR="00131161">
        <w:t>aprox</w:t>
      </w:r>
      <w:proofErr w:type="spellEnd"/>
      <w:r w:rsidR="004211FB">
        <w:t>.</w:t>
      </w:r>
      <w:r w:rsidR="00131161">
        <w:t xml:space="preserve"> </w:t>
      </w:r>
      <w:proofErr w:type="gramStart"/>
      <w:r w:rsidR="00131161">
        <w:t>300</w:t>
      </w:r>
      <w:proofErr w:type="gramEnd"/>
      <w:r w:rsidR="00131161">
        <w:t xml:space="preserve"> members. </w:t>
      </w:r>
      <w:r>
        <w:t xml:space="preserve">FAU paid for an institutional membership last year and will do so again this year, which provides </w:t>
      </w:r>
      <w:r w:rsidR="00DB2236">
        <w:t xml:space="preserve">memberships for </w:t>
      </w:r>
      <w:proofErr w:type="gramStart"/>
      <w:r w:rsidR="00131161">
        <w:t>6</w:t>
      </w:r>
      <w:proofErr w:type="gramEnd"/>
      <w:r w:rsidR="00131161">
        <w:t xml:space="preserve"> </w:t>
      </w:r>
      <w:r w:rsidR="00DB2236">
        <w:t>FAU faculty, an Instructor, and a graduate student</w:t>
      </w:r>
      <w:r w:rsidR="00131161">
        <w:t>.</w:t>
      </w:r>
      <w:r w:rsidR="00DB2236">
        <w:t xml:space="preserve"> The WAC committee has first dibs and then other faculty members across campus can assume the other slots remaining.</w:t>
      </w:r>
      <w:r w:rsidR="00131161">
        <w:t xml:space="preserve"> </w:t>
      </w:r>
      <w:r w:rsidR="00DB2236">
        <w:t xml:space="preserve"> Individual m</w:t>
      </w:r>
      <w:r w:rsidR="00131161">
        <w:t>embership is $50 per person</w:t>
      </w:r>
      <w:r w:rsidR="00DF4D9B">
        <w:t>,</w:t>
      </w:r>
      <w:r w:rsidR="00131161">
        <w:t xml:space="preserve"> </w:t>
      </w:r>
      <w:r w:rsidR="00DF4D9B">
        <w:t>o</w:t>
      </w:r>
      <w:r w:rsidR="00131161">
        <w:t xml:space="preserve">r $250 for institutional membership. </w:t>
      </w:r>
      <w:proofErr w:type="gramStart"/>
      <w:r w:rsidR="00131161">
        <w:t>J</w:t>
      </w:r>
      <w:r w:rsidR="00DF4D9B">
        <w:t>G</w:t>
      </w:r>
      <w:r w:rsidR="00131161">
        <w:t xml:space="preserve"> would like to include some faculty</w:t>
      </w:r>
      <w:r w:rsidR="00DB2236">
        <w:t xml:space="preserve"> and asks who might be interested.</w:t>
      </w:r>
      <w:proofErr w:type="gramEnd"/>
      <w:r w:rsidR="009A17EB">
        <w:t xml:space="preserve"> </w:t>
      </w:r>
      <w:r w:rsidR="00131161">
        <w:t xml:space="preserve"> </w:t>
      </w:r>
      <w:r w:rsidR="00B02544">
        <w:t xml:space="preserve"> </w:t>
      </w:r>
    </w:p>
    <w:p w14:paraId="09ED8946" w14:textId="78B7EF02" w:rsidR="00014E3D" w:rsidRDefault="00014E3D"/>
    <w:p w14:paraId="435922DA" w14:textId="230E127A" w:rsidR="00014E3D" w:rsidRDefault="00DB2236">
      <w:r>
        <w:t>The w</w:t>
      </w:r>
      <w:r w:rsidR="003345C9">
        <w:t>riting fellow</w:t>
      </w:r>
      <w:r>
        <w:t>s</w:t>
      </w:r>
      <w:r w:rsidR="003345C9">
        <w:t xml:space="preserve"> program for last year was a wash</w:t>
      </w:r>
      <w:r>
        <w:t xml:space="preserve"> for several reasons.  A graduate student was eager to create the program and test its viability, but she was not really prepared to manage it sufficiently. In addition, tutors were hired too late to get students from the selected courses, so match-ups were not strong</w:t>
      </w:r>
      <w:r w:rsidR="003345C9">
        <w:t xml:space="preserve">. </w:t>
      </w:r>
      <w:r w:rsidR="00E50A85">
        <w:t xml:space="preserve">We </w:t>
      </w:r>
      <w:r w:rsidR="00DF4D9B">
        <w:t xml:space="preserve">have </w:t>
      </w:r>
      <w:r w:rsidR="00BE2856">
        <w:t>identif</w:t>
      </w:r>
      <w:r w:rsidR="00DF4D9B">
        <w:t>ied</w:t>
      </w:r>
      <w:r w:rsidR="00E50A85">
        <w:t xml:space="preserve"> one department – political science- and we have a dedicated political science </w:t>
      </w:r>
      <w:r w:rsidR="00BE2856">
        <w:t>writing center consultant.</w:t>
      </w:r>
      <w:r w:rsidR="00952508">
        <w:t xml:space="preserve"> We previously had a </w:t>
      </w:r>
      <w:r w:rsidR="00C24181">
        <w:t>L</w:t>
      </w:r>
      <w:r w:rsidR="00952508">
        <w:t>anguages consultant in the UCEW.</w:t>
      </w:r>
      <w:r>
        <w:t xml:space="preserve"> We will track how well these consultants do with the disciplines that pay for their positions.</w:t>
      </w:r>
    </w:p>
    <w:p w14:paraId="39D75B9F" w14:textId="77777777" w:rsidR="00C24181" w:rsidRDefault="00C24181"/>
    <w:p w14:paraId="4F0620D4" w14:textId="0F991358" w:rsidR="004A017E" w:rsidRDefault="00DB2236">
      <w:r>
        <w:t>JG asked w</w:t>
      </w:r>
      <w:r w:rsidR="00F92E80">
        <w:t xml:space="preserve">hat happened to the WAC certification for courses in </w:t>
      </w:r>
      <w:proofErr w:type="gramStart"/>
      <w:r w:rsidR="00F92E80">
        <w:t>Lingua?</w:t>
      </w:r>
      <w:proofErr w:type="gramEnd"/>
      <w:r w:rsidR="00F92E80">
        <w:t xml:space="preserve"> (Jacqueline). </w:t>
      </w:r>
      <w:r w:rsidR="001E1514">
        <w:t xml:space="preserve">It </w:t>
      </w:r>
      <w:r w:rsidR="00DF4D9B">
        <w:t xml:space="preserve">has </w:t>
      </w:r>
      <w:r w:rsidR="001E1514">
        <w:t>not affect</w:t>
      </w:r>
      <w:r w:rsidR="00DF4D9B">
        <w:t>ed</w:t>
      </w:r>
      <w:r w:rsidR="001E1514">
        <w:t xml:space="preserve"> many students for now/not a high priority issue. </w:t>
      </w:r>
      <w:r w:rsidR="00770D10">
        <w:t>JG: this is something that is wo</w:t>
      </w:r>
      <w:r w:rsidR="00051E2D">
        <w:t>r</w:t>
      </w:r>
      <w:r w:rsidR="00770D10">
        <w:t xml:space="preserve">th addressing. </w:t>
      </w:r>
    </w:p>
    <w:p w14:paraId="046048F6" w14:textId="5E22B004" w:rsidR="00952508" w:rsidRDefault="00952508"/>
    <w:p w14:paraId="769CC9B6" w14:textId="08063478" w:rsidR="003F78BB" w:rsidRDefault="00EB57F0">
      <w:r>
        <w:t>All WAC</w:t>
      </w:r>
      <w:r w:rsidR="00DF4D9B">
        <w:t xml:space="preserve"> courses </w:t>
      </w:r>
      <w:r>
        <w:t xml:space="preserve">are </w:t>
      </w:r>
      <w:r w:rsidR="00DF4D9B">
        <w:t xml:space="preserve">also </w:t>
      </w:r>
      <w:r>
        <w:t xml:space="preserve">Gordon Rule and </w:t>
      </w:r>
      <w:r w:rsidR="00DF4D9B">
        <w:t>as such they have</w:t>
      </w:r>
      <w:r>
        <w:t xml:space="preserve"> to be certified by the </w:t>
      </w:r>
      <w:r w:rsidR="00DF4D9B">
        <w:t>S</w:t>
      </w:r>
      <w:r>
        <w:t>tate</w:t>
      </w:r>
      <w:r w:rsidR="00E034A0">
        <w:t xml:space="preserve"> as Gordon Rule. Do we want to vote on having thesis courses in lingua be accepted as WAC classes at FAU? Should </w:t>
      </w:r>
      <w:r w:rsidR="00114F44">
        <w:t xml:space="preserve">we designate </w:t>
      </w:r>
      <w:r w:rsidR="00DF4D9B">
        <w:t>them as</w:t>
      </w:r>
      <w:r w:rsidR="00114F44">
        <w:t xml:space="preserve"> WAC</w:t>
      </w:r>
      <w:r w:rsidR="00DF4D9B">
        <w:t>?</w:t>
      </w:r>
      <w:r w:rsidR="00114F44">
        <w:t xml:space="preserve">  </w:t>
      </w:r>
      <w:r w:rsidR="00DB2236">
        <w:t xml:space="preserve">The committee decided more information </w:t>
      </w:r>
      <w:proofErr w:type="gramStart"/>
      <w:r w:rsidR="00DB2236">
        <w:t>was warranted</w:t>
      </w:r>
      <w:proofErr w:type="gramEnd"/>
      <w:r w:rsidR="00DB2236">
        <w:t xml:space="preserve"> before a vote was taken.</w:t>
      </w:r>
    </w:p>
    <w:p w14:paraId="73C7848F" w14:textId="6E9C5DED" w:rsidR="00EB57F0" w:rsidRDefault="003F78BB">
      <w:r>
        <w:t xml:space="preserve">JG will follow up with the </w:t>
      </w:r>
      <w:r w:rsidR="00DF4D9B">
        <w:t>S</w:t>
      </w:r>
      <w:r>
        <w:t>tate before deciding</w:t>
      </w:r>
      <w:r w:rsidR="00DF4D9B">
        <w:t>/voting on this</w:t>
      </w:r>
      <w:r>
        <w:t xml:space="preserve">. If the </w:t>
      </w:r>
      <w:r w:rsidR="00DF4D9B">
        <w:t>S</w:t>
      </w:r>
      <w:r>
        <w:t xml:space="preserve">tate says ok </w:t>
      </w:r>
      <w:r w:rsidR="00C24181">
        <w:t xml:space="preserve">to it, </w:t>
      </w:r>
      <w:r>
        <w:t xml:space="preserve">we must figure out a way to assess </w:t>
      </w:r>
      <w:r w:rsidR="00DF4D9B">
        <w:t>them</w:t>
      </w:r>
      <w:r>
        <w:t xml:space="preserve">. We assess the syllabi and </w:t>
      </w:r>
      <w:r w:rsidR="00BD15A0">
        <w:t xml:space="preserve">papers. </w:t>
      </w:r>
      <w:r w:rsidR="00EB57F0">
        <w:t xml:space="preserve"> </w:t>
      </w:r>
    </w:p>
    <w:p w14:paraId="13BF01DD" w14:textId="6C7B15AD" w:rsidR="000D6186" w:rsidRDefault="000D6186">
      <w:r>
        <w:t xml:space="preserve">Questions? </w:t>
      </w:r>
    </w:p>
    <w:p w14:paraId="5C55F583" w14:textId="77777777" w:rsidR="00DF4D9B" w:rsidRDefault="00DF4D9B"/>
    <w:p w14:paraId="4D5FE665" w14:textId="0AB8A4E6" w:rsidR="00DF4D9B" w:rsidRDefault="00DF4D9B">
      <w:r>
        <w:t>Claudia Amadori shows committee the new (revised) Google Form for the re-certification process of miscellaneous departments (all department except English, History and Philosophy). The questions have been streamlined. Committee wants to mo</w:t>
      </w:r>
      <w:r w:rsidR="00DB2236">
        <w:t>v</w:t>
      </w:r>
      <w:r>
        <w:t xml:space="preserve">e “Approved/ Approved with Revisions” </w:t>
      </w:r>
      <w:r w:rsidR="00DB2236">
        <w:t>to</w:t>
      </w:r>
      <w:r>
        <w:t xml:space="preserve"> the end of the form</w:t>
      </w:r>
      <w:r w:rsidR="00DB2236">
        <w:t xml:space="preserve"> </w:t>
      </w:r>
      <w:r>
        <w:t>and eliminate “Not Approved</w:t>
      </w:r>
      <w:r w:rsidR="00DB2236">
        <w:t>.</w:t>
      </w:r>
      <w:r>
        <w:t>” The committee discusses reasons for discrepancies in the results of last year English syllabi re-certification (i.e. different members reading the same syllabus</w:t>
      </w:r>
      <w:r w:rsidR="00C24181">
        <w:t xml:space="preserve"> and</w:t>
      </w:r>
      <w:r>
        <w:t xml:space="preserve"> mark</w:t>
      </w:r>
      <w:r w:rsidR="00C24181">
        <w:t>ing</w:t>
      </w:r>
      <w:r>
        <w:t xml:space="preserve"> different issues)</w:t>
      </w:r>
      <w:r w:rsidR="00C24181">
        <w:t>; part of this is due to syllabi being very different in the location of information</w:t>
      </w:r>
      <w:r w:rsidR="00DB2236">
        <w:t>.  The c</w:t>
      </w:r>
      <w:r>
        <w:t xml:space="preserve">ommittee discussed how to improve the process: it </w:t>
      </w:r>
      <w:proofErr w:type="gramStart"/>
      <w:r>
        <w:t>was suggested</w:t>
      </w:r>
      <w:proofErr w:type="gramEnd"/>
      <w:r>
        <w:t xml:space="preserve"> that we </w:t>
      </w:r>
      <w:r w:rsidR="00C24181">
        <w:t>could</w:t>
      </w:r>
      <w:r>
        <w:t xml:space="preserve"> send a copy of the WAC checklist to faculty when we request syllabi</w:t>
      </w:r>
      <w:r w:rsidR="00C24181">
        <w:t>. This would</w:t>
      </w:r>
      <w:r>
        <w:t xml:space="preserve"> give them an opportunity to review their syllabi before sending them to the WAC committee.  We also discussed reading the entire syllabus versus searching for specific key word</w:t>
      </w:r>
      <w:r w:rsidR="00C24181">
        <w:t>s</w:t>
      </w:r>
      <w:r>
        <w:t xml:space="preserve">. </w:t>
      </w:r>
    </w:p>
    <w:p w14:paraId="37C2E79B" w14:textId="6466BB3C" w:rsidR="00DF4D9B" w:rsidRDefault="00DF4D9B">
      <w:r>
        <w:t>After the discussion the committee ha</w:t>
      </w:r>
      <w:r w:rsidR="00C24181">
        <w:t>d</w:t>
      </w:r>
      <w:r>
        <w:t xml:space="preserve"> a norming session of three syllabi from last year’s re-certification. </w:t>
      </w:r>
      <w:r w:rsidR="00C24181">
        <w:t xml:space="preserve">We read the syllabi and discussed our finding. We agreed on the results. </w:t>
      </w:r>
      <w:r>
        <w:t xml:space="preserve">  </w:t>
      </w:r>
      <w:r w:rsidR="00DB2236">
        <w:t>JG will follow-up with faculty who could not attend this norming process to help them prepare for the recertification process.</w:t>
      </w:r>
    </w:p>
    <w:p w14:paraId="48FB8D13" w14:textId="307F3045" w:rsidR="00F814D9" w:rsidRDefault="00DF4D9B">
      <w:r>
        <w:t xml:space="preserve">CA will send </w:t>
      </w:r>
      <w:r w:rsidR="00DB2236">
        <w:t xml:space="preserve">the </w:t>
      </w:r>
      <w:r>
        <w:t>quota of syllabi to committee members</w:t>
      </w:r>
      <w:r w:rsidR="00C24181">
        <w:t xml:space="preserve"> as soon as she has everyone’s syllabi and before the end of the semester</w:t>
      </w:r>
      <w:r>
        <w:t xml:space="preserve">.   </w:t>
      </w:r>
    </w:p>
    <w:p w14:paraId="7E5C0D3D" w14:textId="77777777" w:rsidR="00F814D9" w:rsidRDefault="00F814D9"/>
    <w:p w14:paraId="7DE8844C" w14:textId="77777777" w:rsidR="000D6186" w:rsidRDefault="000D6186"/>
    <w:p w14:paraId="4867C414" w14:textId="77777777" w:rsidR="005D3327" w:rsidRDefault="005D3327"/>
    <w:sectPr w:rsidR="005D3327" w:rsidSect="0056764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50BFE"/>
    <w:multiLevelType w:val="hybridMultilevel"/>
    <w:tmpl w:val="A188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26EF2"/>
    <w:multiLevelType w:val="hybridMultilevel"/>
    <w:tmpl w:val="3124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C0FAD"/>
    <w:multiLevelType w:val="hybridMultilevel"/>
    <w:tmpl w:val="0CB2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27"/>
    <w:rsid w:val="00014E3D"/>
    <w:rsid w:val="00051E2D"/>
    <w:rsid w:val="00062E99"/>
    <w:rsid w:val="000B0F81"/>
    <w:rsid w:val="000D6186"/>
    <w:rsid w:val="00104773"/>
    <w:rsid w:val="00114F44"/>
    <w:rsid w:val="00131161"/>
    <w:rsid w:val="0013601C"/>
    <w:rsid w:val="00170BA2"/>
    <w:rsid w:val="001711FC"/>
    <w:rsid w:val="001E1514"/>
    <w:rsid w:val="002C6DD1"/>
    <w:rsid w:val="002D3CC6"/>
    <w:rsid w:val="002D4F0C"/>
    <w:rsid w:val="003345C9"/>
    <w:rsid w:val="00351883"/>
    <w:rsid w:val="00377131"/>
    <w:rsid w:val="003D471E"/>
    <w:rsid w:val="003F6893"/>
    <w:rsid w:val="003F78BB"/>
    <w:rsid w:val="004211FB"/>
    <w:rsid w:val="00422A1D"/>
    <w:rsid w:val="004A017E"/>
    <w:rsid w:val="004B041A"/>
    <w:rsid w:val="00531435"/>
    <w:rsid w:val="00567645"/>
    <w:rsid w:val="005B41BD"/>
    <w:rsid w:val="005D3327"/>
    <w:rsid w:val="0066765A"/>
    <w:rsid w:val="006D725D"/>
    <w:rsid w:val="006F5050"/>
    <w:rsid w:val="00770D10"/>
    <w:rsid w:val="00777A84"/>
    <w:rsid w:val="007E758C"/>
    <w:rsid w:val="00801450"/>
    <w:rsid w:val="00840D22"/>
    <w:rsid w:val="00852898"/>
    <w:rsid w:val="008601C8"/>
    <w:rsid w:val="008B20A8"/>
    <w:rsid w:val="0092008B"/>
    <w:rsid w:val="00952508"/>
    <w:rsid w:val="009A17EB"/>
    <w:rsid w:val="009C7EB1"/>
    <w:rsid w:val="009E64C2"/>
    <w:rsid w:val="00A55795"/>
    <w:rsid w:val="00AE0480"/>
    <w:rsid w:val="00B02544"/>
    <w:rsid w:val="00B11D3C"/>
    <w:rsid w:val="00B47E4C"/>
    <w:rsid w:val="00BD15A0"/>
    <w:rsid w:val="00BE2856"/>
    <w:rsid w:val="00BF3C5D"/>
    <w:rsid w:val="00C24181"/>
    <w:rsid w:val="00C534A7"/>
    <w:rsid w:val="00CB71E2"/>
    <w:rsid w:val="00CF6E5E"/>
    <w:rsid w:val="00DB2236"/>
    <w:rsid w:val="00DB76B2"/>
    <w:rsid w:val="00DC7C24"/>
    <w:rsid w:val="00DF4D9B"/>
    <w:rsid w:val="00E034A0"/>
    <w:rsid w:val="00E50A85"/>
    <w:rsid w:val="00EB57F0"/>
    <w:rsid w:val="00EF5B6F"/>
    <w:rsid w:val="00F814D9"/>
    <w:rsid w:val="00F92E80"/>
    <w:rsid w:val="00FE426D"/>
    <w:rsid w:val="00FF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FF01"/>
  <w15:chartTrackingRefBased/>
  <w15:docId w15:val="{B4199747-6C58-6D47-8A52-B6285B38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galin\AppData\Local\Microsoft\Windows\INetCache\Content.Outlook\3E2AD2VC\SI%20data%2011-12-201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galin\AppData\Local\Microsoft\Windows\INetCache\Content.Outlook\3E2AD2VC\SI%20data%2011-12-2019.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galin\Documents\Copy%20of%20SI%20data%2011-20-2019.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 Goal 3</a:t>
            </a:r>
          </a:p>
        </c:rich>
      </c:tx>
      <c:layout>
        <c:manualLayout>
          <c:xMode val="edge"/>
          <c:yMode val="edge"/>
          <c:x val="0.15652780514874937"/>
          <c:y val="3.887269193391642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filled"/>
        <c:varyColors val="0"/>
        <c:ser>
          <c:idx val="0"/>
          <c:order val="0"/>
          <c:tx>
            <c:strRef>
              <c:f>Data!$B$21</c:f>
              <c:strCache>
                <c:ptCount val="1"/>
                <c:pt idx="0">
                  <c:v>Fall 2019</c:v>
                </c:pt>
              </c:strCache>
            </c:strRef>
          </c:tx>
          <c:spPr>
            <a:solidFill>
              <a:schemeClr val="accent1"/>
            </a:solidFill>
            <a:ln w="25400">
              <a:noFill/>
            </a:ln>
            <a:effectLst/>
          </c:spPr>
          <c:cat>
            <c:strRef>
              <c:f>Data!$A$22:$A$24</c:f>
              <c:strCache>
                <c:ptCount val="3"/>
                <c:pt idx="0">
                  <c:v>Number of WAC committee members attending committee meetings</c:v>
                </c:pt>
                <c:pt idx="1">
                  <c:v>Percentage of additional administrative time needed to manage the WAC program per semester</c:v>
                </c:pt>
                <c:pt idx="2">
                  <c:v>Level of University support for the WAC program</c:v>
                </c:pt>
              </c:strCache>
            </c:strRef>
          </c:cat>
          <c:val>
            <c:numRef>
              <c:f>Data!$B$22:$B$24</c:f>
              <c:numCache>
                <c:formatCode>General</c:formatCode>
                <c:ptCount val="3"/>
                <c:pt idx="0">
                  <c:v>3</c:v>
                </c:pt>
                <c:pt idx="1">
                  <c:v>3</c:v>
                </c:pt>
                <c:pt idx="2">
                  <c:v>4</c:v>
                </c:pt>
              </c:numCache>
            </c:numRef>
          </c:val>
          <c:extLst>
            <c:ext xmlns:c16="http://schemas.microsoft.com/office/drawing/2014/chart" uri="{C3380CC4-5D6E-409C-BE32-E72D297353CC}">
              <c16:uniqueId val="{00000000-1BEB-4B02-9301-BE0E4C16DC19}"/>
            </c:ext>
          </c:extLst>
        </c:ser>
        <c:dLbls>
          <c:showLegendKey val="0"/>
          <c:showVal val="0"/>
          <c:showCatName val="0"/>
          <c:showSerName val="0"/>
          <c:showPercent val="0"/>
          <c:showBubbleSize val="0"/>
        </c:dLbls>
        <c:axId val="1734026160"/>
        <c:axId val="1727121152"/>
        <c:extLst/>
      </c:radarChart>
      <c:catAx>
        <c:axId val="173402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727121152"/>
        <c:crosses val="autoZero"/>
        <c:auto val="1"/>
        <c:lblAlgn val="ctr"/>
        <c:lblOffset val="100"/>
        <c:noMultiLvlLbl val="0"/>
      </c:catAx>
      <c:valAx>
        <c:axId val="1727121152"/>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26160"/>
        <c:crosses val="autoZero"/>
        <c:crossBetween val="between"/>
        <c:minorUnit val="0.5"/>
      </c:valAx>
      <c:spPr>
        <a:noFill/>
        <a:ln>
          <a:solidFill>
            <a:schemeClr val="accent1">
              <a:alpha val="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 Goal 3</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filled"/>
        <c:varyColors val="0"/>
        <c:ser>
          <c:idx val="0"/>
          <c:order val="0"/>
          <c:tx>
            <c:strRef>
              <c:f>Data!$B$1:$B$2</c:f>
              <c:strCache>
                <c:ptCount val="2"/>
                <c:pt idx="0">
                  <c:v>Fall 2019</c:v>
                </c:pt>
              </c:strCache>
            </c:strRef>
          </c:tx>
          <c:spPr>
            <a:solidFill>
              <a:schemeClr val="accent1"/>
            </a:solidFill>
            <a:ln w="25400">
              <a:noFill/>
            </a:ln>
            <a:effectLst/>
          </c:spPr>
          <c:cat>
            <c:strRef>
              <c:f>Data!$A$3:$A$8</c:f>
              <c:strCache>
                <c:ptCount val="6"/>
                <c:pt idx="0">
                  <c:v>Percentage of student participation in the WAC assessment process</c:v>
                </c:pt>
                <c:pt idx="1">
                  <c:v>Demographic distribution of raters in the annual WAC assessment from one department </c:v>
                </c:pt>
                <c:pt idx="2">
                  <c:v>Quality of student writing across the university per year on a WAC rating scale of 1-4 </c:v>
                </c:pt>
                <c:pt idx="3">
                  <c:v>Number of departments using the benchmarking system to identify interventions to improve the teaching of writing.  </c:v>
                </c:pt>
                <c:pt idx="4">
                  <c:v>Student writing improving as  a result of departmental interventions targeted in the benchmarking system </c:v>
                </c:pt>
                <c:pt idx="5">
                  <c:v>Percentage of departments submitting WEC assessment results to improve departmental support for writing</c:v>
                </c:pt>
              </c:strCache>
            </c:strRef>
          </c:cat>
          <c:val>
            <c:numRef>
              <c:f>Data!$B$3:$B$8</c:f>
              <c:numCache>
                <c:formatCode>General</c:formatCode>
                <c:ptCount val="6"/>
                <c:pt idx="0">
                  <c:v>3</c:v>
                </c:pt>
                <c:pt idx="1">
                  <c:v>3</c:v>
                </c:pt>
                <c:pt idx="2">
                  <c:v>4</c:v>
                </c:pt>
                <c:pt idx="3">
                  <c:v>3</c:v>
                </c:pt>
                <c:pt idx="4">
                  <c:v>0</c:v>
                </c:pt>
                <c:pt idx="5">
                  <c:v>1</c:v>
                </c:pt>
              </c:numCache>
            </c:numRef>
          </c:val>
          <c:extLst>
            <c:ext xmlns:c16="http://schemas.microsoft.com/office/drawing/2014/chart" uri="{C3380CC4-5D6E-409C-BE32-E72D297353CC}">
              <c16:uniqueId val="{00000000-2CC8-440A-BA42-254CB5381FB1}"/>
            </c:ext>
          </c:extLst>
        </c:ser>
        <c:dLbls>
          <c:showLegendKey val="0"/>
          <c:showVal val="0"/>
          <c:showCatName val="0"/>
          <c:showSerName val="0"/>
          <c:showPercent val="0"/>
          <c:showBubbleSize val="0"/>
        </c:dLbls>
        <c:axId val="1734026160"/>
        <c:axId val="1727121152"/>
        <c:extLst/>
      </c:radarChart>
      <c:catAx>
        <c:axId val="173402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727121152"/>
        <c:crosses val="autoZero"/>
        <c:auto val="1"/>
        <c:lblAlgn val="ctr"/>
        <c:lblOffset val="100"/>
        <c:noMultiLvlLbl val="0"/>
      </c:catAx>
      <c:valAx>
        <c:axId val="1727121152"/>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26160"/>
        <c:crosses val="autoZero"/>
        <c:crossBetween val="between"/>
        <c:minorUnit val="0.5"/>
      </c:valAx>
      <c:spPr>
        <a:noFill/>
        <a:ln>
          <a:solidFill>
            <a:schemeClr val="accent1">
              <a:alpha val="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2019: Goal 5</a:t>
            </a:r>
          </a:p>
        </c:rich>
      </c:tx>
      <c:layout>
        <c:manualLayout>
          <c:xMode val="edge"/>
          <c:yMode val="edge"/>
          <c:x val="0.15652780514874937"/>
          <c:y val="3.887269193391642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filled"/>
        <c:varyColors val="0"/>
        <c:ser>
          <c:idx val="0"/>
          <c:order val="0"/>
          <c:tx>
            <c:strRef>
              <c:f>Data!$B$12</c:f>
              <c:strCache>
                <c:ptCount val="1"/>
                <c:pt idx="0">
                  <c:v>Fall 2019</c:v>
                </c:pt>
              </c:strCache>
            </c:strRef>
          </c:tx>
          <c:spPr>
            <a:solidFill>
              <a:schemeClr val="accent1"/>
            </a:solidFill>
            <a:ln w="25400">
              <a:noFill/>
            </a:ln>
            <a:effectLst/>
          </c:spPr>
          <c:cat>
            <c:strRef>
              <c:f>Data!$A$13:$A$16</c:f>
              <c:strCache>
                <c:ptCount val="4"/>
                <c:pt idx="0">
                  <c:v>Number of students participating in the Provost’s recognition of student publication process </c:v>
                </c:pt>
                <c:pt idx="1">
                  <c:v>Number of faculty recognized annually for their work in WEC program</c:v>
                </c:pt>
                <c:pt idx="2">
                  <c:v>Number of annual submissions to the Arnold H Kossoff Pen to Paper essay contest</c:v>
                </c:pt>
                <c:pt idx="3">
                  <c:v>Number of events annually for faculty writing, recognition, or support</c:v>
                </c:pt>
              </c:strCache>
            </c:strRef>
          </c:cat>
          <c:val>
            <c:numRef>
              <c:f>Data!$B$13:$B$16</c:f>
              <c:numCache>
                <c:formatCode>General</c:formatCode>
                <c:ptCount val="4"/>
                <c:pt idx="0">
                  <c:v>4</c:v>
                </c:pt>
                <c:pt idx="1">
                  <c:v>1</c:v>
                </c:pt>
                <c:pt idx="2">
                  <c:v>3</c:v>
                </c:pt>
                <c:pt idx="3">
                  <c:v>2</c:v>
                </c:pt>
              </c:numCache>
            </c:numRef>
          </c:val>
          <c:extLst>
            <c:ext xmlns:c16="http://schemas.microsoft.com/office/drawing/2014/chart" uri="{C3380CC4-5D6E-409C-BE32-E72D297353CC}">
              <c16:uniqueId val="{00000000-2540-426A-B5CB-5ABCE5651E7F}"/>
            </c:ext>
          </c:extLst>
        </c:ser>
        <c:dLbls>
          <c:showLegendKey val="0"/>
          <c:showVal val="0"/>
          <c:showCatName val="0"/>
          <c:showSerName val="0"/>
          <c:showPercent val="0"/>
          <c:showBubbleSize val="0"/>
        </c:dLbls>
        <c:axId val="1734026160"/>
        <c:axId val="1727121152"/>
        <c:extLst/>
      </c:radarChart>
      <c:catAx>
        <c:axId val="173402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727121152"/>
        <c:crosses val="autoZero"/>
        <c:auto val="1"/>
        <c:lblAlgn val="ctr"/>
        <c:lblOffset val="100"/>
        <c:noMultiLvlLbl val="0"/>
      </c:catAx>
      <c:valAx>
        <c:axId val="1727121152"/>
        <c:scaling>
          <c:orientation val="minMax"/>
          <c:max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26160"/>
        <c:crosses val="autoZero"/>
        <c:crossBetween val="between"/>
        <c:minorUnit val="0.5"/>
      </c:valAx>
      <c:spPr>
        <a:noFill/>
        <a:ln>
          <a:solidFill>
            <a:schemeClr val="accent1">
              <a:alpha val="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0.46974</cdr:x>
      <cdr:y>0.47012</cdr:y>
    </cdr:from>
    <cdr:to>
      <cdr:x>0.53955</cdr:x>
      <cdr:y>0.59038</cdr:y>
    </cdr:to>
    <cdr:sp macro="" textlink="">
      <cdr:nvSpPr>
        <cdr:cNvPr id="2" name="Oval 1">
          <a:extLst xmlns:a="http://schemas.openxmlformats.org/drawingml/2006/main">
            <a:ext uri="{FF2B5EF4-FFF2-40B4-BE49-F238E27FC236}">
              <a16:creationId xmlns:a16="http://schemas.microsoft.com/office/drawing/2014/main" id="{76E5A16C-2121-48DE-82DA-F52B48EBF563}"/>
            </a:ext>
          </a:extLst>
        </cdr:cNvPr>
        <cdr:cNvSpPr/>
      </cdr:nvSpPr>
      <cdr:spPr>
        <a:xfrm xmlns:a="http://schemas.openxmlformats.org/drawingml/2006/main">
          <a:off x="3167786" y="1730258"/>
          <a:ext cx="470764" cy="442612"/>
        </a:xfrm>
        <a:prstGeom xmlns:a="http://schemas.openxmlformats.org/drawingml/2006/main" prst="ellipse">
          <a:avLst/>
        </a:prstGeom>
        <a:noFill xmlns:a="http://schemas.openxmlformats.org/drawingml/2006/main"/>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0.34181</cdr:x>
      <cdr:y>0.27174</cdr:y>
    </cdr:from>
    <cdr:to>
      <cdr:x>0.66102</cdr:x>
      <cdr:y>0.79451</cdr:y>
    </cdr:to>
    <cdr:sp macro="" textlink="">
      <cdr:nvSpPr>
        <cdr:cNvPr id="3" name="Oval 2">
          <a:extLst xmlns:a="http://schemas.openxmlformats.org/drawingml/2006/main">
            <a:ext uri="{FF2B5EF4-FFF2-40B4-BE49-F238E27FC236}">
              <a16:creationId xmlns:a16="http://schemas.microsoft.com/office/drawing/2014/main" id="{B008A438-0755-4456-BFAD-0D9D3F542374}"/>
            </a:ext>
          </a:extLst>
        </cdr:cNvPr>
        <cdr:cNvSpPr/>
      </cdr:nvSpPr>
      <cdr:spPr>
        <a:xfrm xmlns:a="http://schemas.openxmlformats.org/drawingml/2006/main">
          <a:off x="2305050" y="1000124"/>
          <a:ext cx="2152650" cy="1924051"/>
        </a:xfrm>
        <a:prstGeom xmlns:a="http://schemas.openxmlformats.org/drawingml/2006/main" prst="ellipse">
          <a:avLst/>
        </a:prstGeom>
        <a:noFill xmlns:a="http://schemas.openxmlformats.org/drawingml/2006/main"/>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0.46974</cdr:x>
      <cdr:y>0.47893</cdr:y>
    </cdr:from>
    <cdr:to>
      <cdr:x>0.53209</cdr:x>
      <cdr:y>0.58262</cdr:y>
    </cdr:to>
    <cdr:sp macro="" textlink="">
      <cdr:nvSpPr>
        <cdr:cNvPr id="2" name="Oval 1">
          <a:extLst xmlns:a="http://schemas.openxmlformats.org/drawingml/2006/main">
            <a:ext uri="{FF2B5EF4-FFF2-40B4-BE49-F238E27FC236}">
              <a16:creationId xmlns:a16="http://schemas.microsoft.com/office/drawing/2014/main" id="{76E5A16C-2121-48DE-82DA-F52B48EBF563}"/>
            </a:ext>
          </a:extLst>
        </cdr:cNvPr>
        <cdr:cNvSpPr/>
      </cdr:nvSpPr>
      <cdr:spPr>
        <a:xfrm xmlns:a="http://schemas.openxmlformats.org/drawingml/2006/main">
          <a:off x="3834452" y="2381281"/>
          <a:ext cx="508948" cy="515535"/>
        </a:xfrm>
        <a:prstGeom xmlns:a="http://schemas.openxmlformats.org/drawingml/2006/main" prst="ellipse">
          <a:avLst/>
        </a:prstGeom>
        <a:noFill xmlns:a="http://schemas.openxmlformats.org/drawingml/2006/main"/>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0.36406</cdr:x>
      <cdr:y>0.28161</cdr:y>
    </cdr:from>
    <cdr:to>
      <cdr:x>0.64294</cdr:x>
      <cdr:y>0.77778</cdr:y>
    </cdr:to>
    <cdr:sp macro="" textlink="">
      <cdr:nvSpPr>
        <cdr:cNvPr id="3" name="Oval 2">
          <a:extLst xmlns:a="http://schemas.openxmlformats.org/drawingml/2006/main">
            <a:ext uri="{FF2B5EF4-FFF2-40B4-BE49-F238E27FC236}">
              <a16:creationId xmlns:a16="http://schemas.microsoft.com/office/drawing/2014/main" id="{B008A438-0755-4456-BFAD-0D9D3F542374}"/>
            </a:ext>
          </a:extLst>
        </cdr:cNvPr>
        <cdr:cNvSpPr/>
      </cdr:nvSpPr>
      <cdr:spPr>
        <a:xfrm xmlns:a="http://schemas.openxmlformats.org/drawingml/2006/main">
          <a:off x="2971800" y="1400175"/>
          <a:ext cx="2276475" cy="2466975"/>
        </a:xfrm>
        <a:prstGeom xmlns:a="http://schemas.openxmlformats.org/drawingml/2006/main" prst="ellipse">
          <a:avLst/>
        </a:prstGeom>
        <a:noFill xmlns:a="http://schemas.openxmlformats.org/drawingml/2006/main"/>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0.46851</cdr:x>
      <cdr:y>0.48232</cdr:y>
    </cdr:from>
    <cdr:to>
      <cdr:x>0.52735</cdr:x>
      <cdr:y>0.60258</cdr:y>
    </cdr:to>
    <cdr:sp macro="" textlink="">
      <cdr:nvSpPr>
        <cdr:cNvPr id="2" name="Oval 1">
          <a:extLst xmlns:a="http://schemas.openxmlformats.org/drawingml/2006/main">
            <a:ext uri="{FF2B5EF4-FFF2-40B4-BE49-F238E27FC236}">
              <a16:creationId xmlns:a16="http://schemas.microsoft.com/office/drawing/2014/main" id="{76E5A16C-2121-48DE-82DA-F52B48EBF563}"/>
            </a:ext>
          </a:extLst>
        </cdr:cNvPr>
        <cdr:cNvSpPr/>
      </cdr:nvSpPr>
      <cdr:spPr>
        <a:xfrm xmlns:a="http://schemas.openxmlformats.org/drawingml/2006/main">
          <a:off x="3641482" y="1882665"/>
          <a:ext cx="457328" cy="469416"/>
        </a:xfrm>
        <a:prstGeom xmlns:a="http://schemas.openxmlformats.org/drawingml/2006/main" prst="ellipse">
          <a:avLst/>
        </a:prstGeom>
        <a:noFill xmlns:a="http://schemas.openxmlformats.org/drawingml/2006/main"/>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0.35861</cdr:x>
      <cdr:y>0.25875</cdr:y>
    </cdr:from>
    <cdr:to>
      <cdr:x>0.63877</cdr:x>
      <cdr:y>0.8145</cdr:y>
    </cdr:to>
    <cdr:sp macro="" textlink="">
      <cdr:nvSpPr>
        <cdr:cNvPr id="3" name="Oval 2">
          <a:extLst xmlns:a="http://schemas.openxmlformats.org/drawingml/2006/main">
            <a:ext uri="{FF2B5EF4-FFF2-40B4-BE49-F238E27FC236}">
              <a16:creationId xmlns:a16="http://schemas.microsoft.com/office/drawing/2014/main" id="{B008A438-0755-4456-BFAD-0D9D3F542374}"/>
            </a:ext>
          </a:extLst>
        </cdr:cNvPr>
        <cdr:cNvSpPr/>
      </cdr:nvSpPr>
      <cdr:spPr>
        <a:xfrm xmlns:a="http://schemas.openxmlformats.org/drawingml/2006/main">
          <a:off x="3657600" y="1352550"/>
          <a:ext cx="2857500" cy="2905125"/>
        </a:xfrm>
        <a:prstGeom xmlns:a="http://schemas.openxmlformats.org/drawingml/2006/main" prst="ellipse">
          <a:avLst/>
        </a:prstGeom>
        <a:noFill xmlns:a="http://schemas.openxmlformats.org/drawingml/2006/main"/>
        <a:ln xmlns:a="http://schemas.openxmlformats.org/drawingml/2006/main">
          <a:solidFill>
            <a:schemeClr val="bg2">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1649</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Amadori, Nicholas M</dc:creator>
  <cp:keywords/>
  <dc:description/>
  <cp:lastModifiedBy>Jeffrey Galin</cp:lastModifiedBy>
  <cp:revision>2</cp:revision>
  <dcterms:created xsi:type="dcterms:W3CDTF">2019-11-20T21:55:00Z</dcterms:created>
  <dcterms:modified xsi:type="dcterms:W3CDTF">2019-11-20T21:55:00Z</dcterms:modified>
</cp:coreProperties>
</file>